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B2534" w:rsidRDefault="00FB2534" w:rsidP="00AC4606">
      <w:pPr>
        <w:jc w:val="right"/>
        <w:rPr>
          <w:sz w:val="20"/>
          <w:szCs w:val="20"/>
          <w:u w:val="single"/>
        </w:rPr>
      </w:pPr>
      <w:bookmarkStart w:id="0" w:name="_Toc233450106"/>
      <w:r w:rsidRPr="00A931E8">
        <w:rPr>
          <w:sz w:val="20"/>
          <w:szCs w:val="20"/>
          <w:u w:val="single"/>
        </w:rPr>
        <w:t xml:space="preserve">Załącznik </w:t>
      </w:r>
      <w:r>
        <w:rPr>
          <w:sz w:val="20"/>
          <w:szCs w:val="20"/>
          <w:u w:val="single"/>
        </w:rPr>
        <w:t>nr 1</w:t>
      </w:r>
    </w:p>
    <w:p w:rsidR="00FB2534" w:rsidRDefault="00FB2534" w:rsidP="00AC4606">
      <w:pPr>
        <w:jc w:val="right"/>
        <w:rPr>
          <w:bCs/>
          <w:sz w:val="20"/>
          <w:szCs w:val="20"/>
          <w:u w:val="single"/>
        </w:rPr>
      </w:pPr>
      <w:r w:rsidRPr="00A931E8">
        <w:rPr>
          <w:sz w:val="20"/>
          <w:szCs w:val="20"/>
          <w:u w:val="single"/>
        </w:rPr>
        <w:t>do uchwały R</w:t>
      </w:r>
      <w:r>
        <w:rPr>
          <w:sz w:val="20"/>
          <w:szCs w:val="20"/>
          <w:u w:val="single"/>
        </w:rPr>
        <w:t>ady</w:t>
      </w:r>
      <w:r w:rsidRPr="00A931E8">
        <w:rPr>
          <w:sz w:val="20"/>
          <w:szCs w:val="20"/>
          <w:u w:val="single"/>
        </w:rPr>
        <w:t xml:space="preserve"> G</w:t>
      </w:r>
      <w:r>
        <w:rPr>
          <w:sz w:val="20"/>
          <w:szCs w:val="20"/>
          <w:u w:val="single"/>
        </w:rPr>
        <w:t>miny</w:t>
      </w:r>
      <w:r w:rsidRPr="00A931E8">
        <w:rPr>
          <w:sz w:val="20"/>
          <w:szCs w:val="20"/>
          <w:u w:val="single"/>
        </w:rPr>
        <w:t xml:space="preserve"> M</w:t>
      </w:r>
      <w:r>
        <w:rPr>
          <w:sz w:val="20"/>
          <w:szCs w:val="20"/>
          <w:u w:val="single"/>
        </w:rPr>
        <w:t>albork</w:t>
      </w:r>
      <w:r w:rsidRPr="00A931E8">
        <w:rPr>
          <w:bCs/>
          <w:sz w:val="20"/>
          <w:szCs w:val="20"/>
          <w:u w:val="single"/>
        </w:rPr>
        <w:t xml:space="preserve"> </w:t>
      </w:r>
      <w:r>
        <w:rPr>
          <w:sz w:val="20"/>
          <w:szCs w:val="20"/>
          <w:u w:val="single"/>
        </w:rPr>
        <w:t>Nr</w:t>
      </w:r>
      <w:r w:rsidRPr="00A931E8">
        <w:rPr>
          <w:sz w:val="20"/>
          <w:szCs w:val="20"/>
          <w:u w:val="single"/>
        </w:rPr>
        <w:t xml:space="preserve"> IX/81/2015</w:t>
      </w:r>
      <w:r w:rsidRPr="00A931E8">
        <w:rPr>
          <w:bCs/>
          <w:sz w:val="20"/>
          <w:szCs w:val="20"/>
          <w:u w:val="single"/>
        </w:rPr>
        <w:t xml:space="preserve"> z dnia 02 </w:t>
      </w:r>
      <w:r>
        <w:rPr>
          <w:bCs/>
          <w:sz w:val="20"/>
          <w:szCs w:val="20"/>
          <w:u w:val="single"/>
        </w:rPr>
        <w:t xml:space="preserve">grudnia </w:t>
      </w:r>
      <w:r w:rsidRPr="00A931E8">
        <w:rPr>
          <w:sz w:val="20"/>
          <w:szCs w:val="20"/>
          <w:u w:val="single"/>
        </w:rPr>
        <w:t>2015 r.</w:t>
      </w:r>
    </w:p>
    <w:p w:rsidR="00FB2534" w:rsidRPr="00A931E8" w:rsidRDefault="00FB2534" w:rsidP="00AC4606">
      <w:pPr>
        <w:jc w:val="right"/>
        <w:rPr>
          <w:bCs/>
          <w:sz w:val="20"/>
          <w:szCs w:val="20"/>
          <w:u w:val="single"/>
        </w:rPr>
      </w:pPr>
      <w:r w:rsidRPr="00A931E8">
        <w:rPr>
          <w:bCs/>
          <w:color w:val="000000"/>
          <w:spacing w:val="-1"/>
          <w:sz w:val="20"/>
          <w:szCs w:val="20"/>
          <w:u w:val="single"/>
        </w:rPr>
        <w:t>w sprawie</w:t>
      </w:r>
      <w:r w:rsidRPr="00A931E8">
        <w:rPr>
          <w:sz w:val="20"/>
          <w:szCs w:val="20"/>
          <w:u w:val="single"/>
        </w:rPr>
        <w:t xml:space="preserve"> przyjęcia i wdrożenia</w:t>
      </w:r>
      <w:r w:rsidRPr="00A931E8">
        <w:rPr>
          <w:bCs/>
          <w:sz w:val="20"/>
          <w:szCs w:val="20"/>
          <w:u w:val="single"/>
        </w:rPr>
        <w:t xml:space="preserve"> </w:t>
      </w:r>
      <w:r w:rsidRPr="00A931E8">
        <w:rPr>
          <w:sz w:val="20"/>
          <w:szCs w:val="20"/>
          <w:u w:val="single"/>
        </w:rPr>
        <w:t>„Planu Gospodarki Niskoemisyjnej dla Gminy Wiejskiej Malbork”</w:t>
      </w:r>
    </w:p>
    <w:p w:rsidR="00FB2534" w:rsidRPr="009A5BCB" w:rsidRDefault="00FB2534" w:rsidP="00AC4606">
      <w:pPr>
        <w:shd w:val="clear" w:color="auto" w:fill="FFFFFF"/>
        <w:ind w:right="11"/>
        <w:jc w:val="center"/>
        <w:rPr>
          <w:rFonts w:ascii="Verdana" w:hAnsi="Verdana"/>
          <w:color w:val="000000"/>
          <w:spacing w:val="5"/>
          <w:sz w:val="20"/>
          <w:szCs w:val="20"/>
        </w:rPr>
      </w:pPr>
    </w:p>
    <w:p w:rsidR="00FB2534" w:rsidRDefault="00FB2534" w:rsidP="00AC4606"/>
    <w:p w:rsidR="00FB2534" w:rsidRDefault="00FB2534" w:rsidP="00AC4606"/>
    <w:p w:rsidR="00FB2534" w:rsidRPr="006A49C0" w:rsidRDefault="00FB2534" w:rsidP="00AC4606">
      <w:pPr>
        <w:pStyle w:val="normalBP"/>
        <w:jc w:val="center"/>
        <w:rPr>
          <w:rFonts w:ascii="Calibri" w:hAnsi="Calibri"/>
        </w:rPr>
      </w:pPr>
      <w:r w:rsidRPr="00275EAD">
        <w:rPr>
          <w:rFonts w:ascii="Calibri" w:hAnsi="Calibri"/>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0" o:spid="_x0000_i1025" type="#_x0000_t75" alt="stare logo.png" style="width:450.75pt;height:57pt;visibility:visible">
            <v:imagedata r:id="rId7" o:title=""/>
          </v:shape>
        </w:pict>
      </w:r>
    </w:p>
    <w:p w:rsidR="00FB2534" w:rsidRPr="006A49C0" w:rsidRDefault="00FB2534" w:rsidP="00AC4606">
      <w:pPr>
        <w:autoSpaceDE w:val="0"/>
        <w:autoSpaceDN w:val="0"/>
        <w:adjustRightInd w:val="0"/>
        <w:jc w:val="right"/>
        <w:rPr>
          <w:rFonts w:ascii="Calibri" w:hAnsi="Calibri" w:cs="Arial"/>
        </w:rPr>
      </w:pPr>
    </w:p>
    <w:p w:rsidR="00FB2534" w:rsidRPr="006A49C0" w:rsidRDefault="00FB2534" w:rsidP="00AC4606">
      <w:pPr>
        <w:autoSpaceDE w:val="0"/>
        <w:autoSpaceDN w:val="0"/>
        <w:adjustRightInd w:val="0"/>
        <w:jc w:val="right"/>
        <w:rPr>
          <w:rFonts w:ascii="Calibri" w:hAnsi="Calibri" w:cs="Arial"/>
        </w:rPr>
      </w:pPr>
    </w:p>
    <w:p w:rsidR="00FB2534" w:rsidRPr="006A49C0" w:rsidRDefault="00FB2534" w:rsidP="00AC4606">
      <w:pPr>
        <w:autoSpaceDE w:val="0"/>
        <w:autoSpaceDN w:val="0"/>
        <w:adjustRightInd w:val="0"/>
        <w:jc w:val="center"/>
        <w:rPr>
          <w:rFonts w:ascii="Calibri" w:hAnsi="Calibri" w:cs="Arial"/>
          <w:sz w:val="40"/>
          <w:szCs w:val="40"/>
        </w:rPr>
      </w:pPr>
      <w:r w:rsidRPr="00275EAD">
        <w:rPr>
          <w:rFonts w:ascii="Calibri" w:hAnsi="Calibri" w:cs="Arial"/>
          <w:noProof/>
          <w:sz w:val="40"/>
          <w:szCs w:val="40"/>
        </w:rPr>
        <w:pict>
          <v:shape id="Obraz 0" o:spid="_x0000_i1026" type="#_x0000_t75" alt="herb_01_Cedry_Wielkie_w.png" style="width:93pt;height:100.5pt;visibility:visible">
            <v:imagedata r:id="rId8" o:title=""/>
          </v:shape>
        </w:pict>
      </w:r>
    </w:p>
    <w:p w:rsidR="00FB2534" w:rsidRPr="006A49C0" w:rsidRDefault="00FB2534" w:rsidP="00AC4606">
      <w:pPr>
        <w:autoSpaceDE w:val="0"/>
        <w:autoSpaceDN w:val="0"/>
        <w:adjustRightInd w:val="0"/>
        <w:jc w:val="center"/>
        <w:rPr>
          <w:rFonts w:ascii="Calibri" w:hAnsi="Calibri" w:cs="Arial"/>
          <w:sz w:val="40"/>
          <w:szCs w:val="40"/>
        </w:rPr>
      </w:pPr>
    </w:p>
    <w:p w:rsidR="00FB2534" w:rsidRDefault="00FB2534" w:rsidP="00AC4606">
      <w:pPr>
        <w:autoSpaceDE w:val="0"/>
        <w:autoSpaceDN w:val="0"/>
        <w:adjustRightInd w:val="0"/>
        <w:jc w:val="center"/>
        <w:rPr>
          <w:rFonts w:ascii="Calibri" w:hAnsi="Calibri" w:cs="Arial"/>
          <w:sz w:val="40"/>
          <w:szCs w:val="40"/>
        </w:rPr>
      </w:pPr>
    </w:p>
    <w:p w:rsidR="00FB2534" w:rsidRDefault="00FB2534" w:rsidP="00AC4606">
      <w:pPr>
        <w:autoSpaceDE w:val="0"/>
        <w:autoSpaceDN w:val="0"/>
        <w:adjustRightInd w:val="0"/>
        <w:jc w:val="center"/>
        <w:rPr>
          <w:rFonts w:ascii="Calibri" w:hAnsi="Calibri" w:cs="Arial"/>
          <w:sz w:val="40"/>
          <w:szCs w:val="40"/>
        </w:rPr>
      </w:pPr>
    </w:p>
    <w:p w:rsidR="00FB2534" w:rsidRPr="006A49C0" w:rsidRDefault="00FB2534" w:rsidP="00AC4606">
      <w:pPr>
        <w:autoSpaceDE w:val="0"/>
        <w:autoSpaceDN w:val="0"/>
        <w:adjustRightInd w:val="0"/>
        <w:jc w:val="center"/>
        <w:rPr>
          <w:rFonts w:ascii="Calibri" w:hAnsi="Calibri" w:cs="Arial"/>
          <w:sz w:val="40"/>
          <w:szCs w:val="40"/>
        </w:rPr>
      </w:pPr>
    </w:p>
    <w:p w:rsidR="00FB2534" w:rsidRPr="00047165" w:rsidRDefault="00FB2534" w:rsidP="00AC4606">
      <w:pPr>
        <w:pStyle w:val="GOMtytul"/>
      </w:pPr>
      <w:r w:rsidRPr="00047165">
        <w:t>Plan gospodarki niskoemisyjnej</w:t>
      </w:r>
    </w:p>
    <w:p w:rsidR="00FB2534" w:rsidRPr="00047165" w:rsidRDefault="00FB2534" w:rsidP="00AC4606">
      <w:pPr>
        <w:pStyle w:val="GOMtytul"/>
      </w:pPr>
      <w:r w:rsidRPr="00047165">
        <w:t>dla</w:t>
      </w:r>
    </w:p>
    <w:p w:rsidR="00FB2534" w:rsidRPr="00047165" w:rsidRDefault="00FB2534" w:rsidP="00AC4606">
      <w:pPr>
        <w:pStyle w:val="GOMtytul"/>
        <w:rPr>
          <w:szCs w:val="40"/>
        </w:rPr>
      </w:pPr>
      <w:r>
        <w:t>Gminy Wiejskiej Malbork</w:t>
      </w: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jc w:val="center"/>
        <w:rPr>
          <w:rFonts w:ascii="Trebuchet MS" w:hAnsi="Trebuchet MS" w:cs="Arial"/>
          <w:sz w:val="28"/>
          <w:szCs w:val="28"/>
        </w:rPr>
      </w:pPr>
    </w:p>
    <w:p w:rsidR="00FB2534" w:rsidRPr="006A49C0" w:rsidRDefault="00FB2534" w:rsidP="00AC4606">
      <w:pPr>
        <w:autoSpaceDE w:val="0"/>
        <w:autoSpaceDN w:val="0"/>
        <w:adjustRightInd w:val="0"/>
        <w:rPr>
          <w:rFonts w:ascii="Georgia" w:hAnsi="Georgia" w:cs="Arial"/>
          <w:i/>
        </w:rPr>
      </w:pPr>
    </w:p>
    <w:p w:rsidR="00FB2534" w:rsidRPr="006A49C0" w:rsidRDefault="00FB2534" w:rsidP="00AC4606">
      <w:pPr>
        <w:autoSpaceDE w:val="0"/>
        <w:autoSpaceDN w:val="0"/>
        <w:adjustRightInd w:val="0"/>
        <w:jc w:val="center"/>
        <w:rPr>
          <w:rFonts w:ascii="Georgia" w:hAnsi="Georgia" w:cs="Arial"/>
          <w:i/>
        </w:rPr>
      </w:pPr>
    </w:p>
    <w:p w:rsidR="00FB2534" w:rsidRPr="006A49C0" w:rsidRDefault="00FB2534" w:rsidP="00AC4606">
      <w:pPr>
        <w:autoSpaceDE w:val="0"/>
        <w:autoSpaceDN w:val="0"/>
        <w:adjustRightInd w:val="0"/>
        <w:jc w:val="center"/>
        <w:rPr>
          <w:rFonts w:ascii="Georgia" w:hAnsi="Georgia" w:cs="Arial"/>
          <w:i/>
        </w:rPr>
      </w:pPr>
    </w:p>
    <w:p w:rsidR="00FB2534" w:rsidRPr="006A49C0" w:rsidRDefault="00FB2534" w:rsidP="00AC4606">
      <w:pPr>
        <w:autoSpaceDE w:val="0"/>
        <w:autoSpaceDN w:val="0"/>
        <w:adjustRightInd w:val="0"/>
        <w:jc w:val="center"/>
        <w:rPr>
          <w:rFonts w:ascii="Calibri" w:hAnsi="Calibri"/>
        </w:rPr>
        <w:sectPr w:rsidR="00FB2534" w:rsidRPr="006A49C0" w:rsidSect="002F1EB8">
          <w:headerReference w:type="default" r:id="rId9"/>
          <w:footerReference w:type="even" r:id="rId10"/>
          <w:pgSz w:w="11906" w:h="16838" w:code="9"/>
          <w:pgMar w:top="1418" w:right="1418" w:bottom="1418" w:left="1418" w:header="709" w:footer="709" w:gutter="0"/>
          <w:cols w:space="708"/>
          <w:titlePg/>
          <w:docGrid w:linePitch="360"/>
        </w:sectPr>
      </w:pPr>
      <w:r>
        <w:rPr>
          <w:rFonts w:ascii="Calibri" w:hAnsi="Calibri"/>
        </w:rPr>
        <w:t>Gdańsk</w:t>
      </w:r>
      <w:r w:rsidRPr="006A49C0">
        <w:rPr>
          <w:rFonts w:ascii="Calibri" w:hAnsi="Calibri"/>
        </w:rPr>
        <w:t xml:space="preserve"> </w:t>
      </w:r>
      <w:r>
        <w:rPr>
          <w:rFonts w:ascii="Calibri" w:hAnsi="Calibri"/>
        </w:rPr>
        <w:t>2015</w:t>
      </w:r>
    </w:p>
    <w:bookmarkEnd w:id="0"/>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emboss w:val="0"/>
          <w:color w:val="auto"/>
          <w:sz w:val="20"/>
          <w:szCs w:val="20"/>
        </w:rPr>
      </w:pPr>
    </w:p>
    <w:p w:rsidR="00FB2534" w:rsidRPr="006A49C0" w:rsidRDefault="00FB2534" w:rsidP="002632FF">
      <w:pPr>
        <w:pStyle w:val="pogrubiony"/>
        <w:spacing w:before="120" w:after="120"/>
        <w:rPr>
          <w:rFonts w:ascii="Calibri" w:hAnsi="Calibri"/>
          <w:i/>
          <w:noProof/>
          <w:sz w:val="20"/>
          <w:szCs w:val="20"/>
        </w:rPr>
      </w:pPr>
      <w:r w:rsidRPr="006A49C0">
        <w:rPr>
          <w:rFonts w:ascii="Calibri" w:hAnsi="Calibri"/>
          <w:emboss w:val="0"/>
          <w:color w:val="auto"/>
          <w:sz w:val="20"/>
          <w:szCs w:val="20"/>
        </w:rPr>
        <w:t>Zespół autorski:</w:t>
      </w:r>
      <w:bookmarkStart w:id="1" w:name="_Toc233450112"/>
      <w:r>
        <w:rPr>
          <w:emboss w:val="0"/>
          <w:noProof/>
          <w:lang w:eastAsia="pl-PL"/>
        </w:rPr>
        <w:pict>
          <v:shape id="Obraz 59" o:spid="_x0000_s1029" type="#_x0000_t75" alt="logo1" style="position:absolute;margin-left:370.25pt;margin-top:10.55pt;width:70.5pt;height:68.95pt;z-index:-251658240;visibility:visible;mso-position-horizontal-relative:text;mso-position-vertical-relative:text">
            <v:imagedata r:id="rId11" o:title=""/>
          </v:shape>
        </w:pict>
      </w:r>
      <w:bookmarkEnd w:id="1"/>
    </w:p>
    <w:p w:rsidR="00FB2534" w:rsidRPr="006A49C0" w:rsidRDefault="00FB2534" w:rsidP="0026554B">
      <w:pPr>
        <w:rPr>
          <w:rFonts w:ascii="Calibri" w:hAnsi="Calibri"/>
          <w:i/>
          <w:sz w:val="20"/>
          <w:szCs w:val="20"/>
        </w:rPr>
      </w:pPr>
      <w:r w:rsidRPr="006A49C0">
        <w:rPr>
          <w:rFonts w:ascii="Calibri" w:hAnsi="Calibri"/>
          <w:i/>
          <w:sz w:val="20"/>
          <w:szCs w:val="20"/>
        </w:rPr>
        <w:t xml:space="preserve">Zespół autorów pod kierownictwem </w:t>
      </w:r>
      <w:r>
        <w:rPr>
          <w:rFonts w:ascii="Calibri" w:hAnsi="Calibri"/>
          <w:i/>
          <w:sz w:val="20"/>
          <w:szCs w:val="20"/>
        </w:rPr>
        <w:t>dr inż. Iwony Rackiewicz</w:t>
      </w:r>
    </w:p>
    <w:p w:rsidR="00FB2534" w:rsidRPr="006A49C0" w:rsidRDefault="00FB2534" w:rsidP="0026554B">
      <w:pPr>
        <w:jc w:val="both"/>
        <w:rPr>
          <w:rFonts w:ascii="Calibri" w:hAnsi="Calibri"/>
          <w:sz w:val="20"/>
          <w:szCs w:val="20"/>
        </w:rPr>
      </w:pPr>
    </w:p>
    <w:p w:rsidR="00FB2534" w:rsidRDefault="00FB2534" w:rsidP="002E6D2D">
      <w:pPr>
        <w:jc w:val="both"/>
        <w:rPr>
          <w:rFonts w:ascii="Calibri" w:hAnsi="Calibri"/>
          <w:sz w:val="20"/>
          <w:szCs w:val="20"/>
        </w:rPr>
      </w:pPr>
      <w:r>
        <w:rPr>
          <w:rFonts w:ascii="Calibri" w:hAnsi="Calibri"/>
          <w:sz w:val="20"/>
          <w:szCs w:val="20"/>
        </w:rPr>
        <w:t>Hanna Adamczyk</w:t>
      </w:r>
    </w:p>
    <w:p w:rsidR="00FB2534" w:rsidRDefault="00FB2534" w:rsidP="002E6D2D">
      <w:pPr>
        <w:jc w:val="both"/>
        <w:rPr>
          <w:rFonts w:ascii="Calibri" w:hAnsi="Calibri"/>
          <w:sz w:val="20"/>
          <w:szCs w:val="20"/>
        </w:rPr>
      </w:pPr>
      <w:r>
        <w:rPr>
          <w:rFonts w:ascii="Calibri" w:hAnsi="Calibri"/>
          <w:sz w:val="20"/>
          <w:szCs w:val="20"/>
        </w:rPr>
        <w:t>mgr inż. Agnieszka Bartocha</w:t>
      </w:r>
    </w:p>
    <w:p w:rsidR="00FB2534" w:rsidRDefault="00FB2534" w:rsidP="002E6D2D">
      <w:pPr>
        <w:jc w:val="both"/>
        <w:rPr>
          <w:rFonts w:ascii="Calibri" w:hAnsi="Calibri"/>
          <w:sz w:val="20"/>
          <w:szCs w:val="20"/>
        </w:rPr>
      </w:pPr>
      <w:r>
        <w:rPr>
          <w:rFonts w:ascii="Calibri" w:hAnsi="Calibri"/>
          <w:sz w:val="20"/>
          <w:szCs w:val="20"/>
        </w:rPr>
        <w:t>inż. Katarzyna Hutyra</w:t>
      </w:r>
    </w:p>
    <w:p w:rsidR="00FB2534" w:rsidRDefault="00FB2534" w:rsidP="002E6D2D">
      <w:pPr>
        <w:jc w:val="both"/>
        <w:rPr>
          <w:rFonts w:ascii="Calibri" w:hAnsi="Calibri"/>
          <w:sz w:val="20"/>
          <w:szCs w:val="20"/>
        </w:rPr>
      </w:pPr>
      <w:r>
        <w:rPr>
          <w:rFonts w:ascii="Calibri" w:hAnsi="Calibri"/>
          <w:sz w:val="20"/>
          <w:szCs w:val="20"/>
        </w:rPr>
        <w:t>dr inż. Jacek Jaśkiewicz</w:t>
      </w:r>
    </w:p>
    <w:p w:rsidR="00FB2534" w:rsidRDefault="00FB2534" w:rsidP="002E6D2D">
      <w:pPr>
        <w:jc w:val="both"/>
        <w:rPr>
          <w:rFonts w:ascii="Calibri" w:hAnsi="Calibri"/>
          <w:sz w:val="20"/>
          <w:szCs w:val="20"/>
        </w:rPr>
      </w:pPr>
      <w:r>
        <w:rPr>
          <w:rFonts w:ascii="Calibri" w:hAnsi="Calibri"/>
          <w:sz w:val="20"/>
          <w:szCs w:val="20"/>
        </w:rPr>
        <w:t>mgr inż. Wojciech Łata</w:t>
      </w:r>
    </w:p>
    <w:p w:rsidR="00FB2534" w:rsidRDefault="00FB2534" w:rsidP="002E6D2D">
      <w:pPr>
        <w:jc w:val="both"/>
        <w:rPr>
          <w:rFonts w:ascii="Calibri" w:hAnsi="Calibri"/>
          <w:sz w:val="20"/>
          <w:szCs w:val="20"/>
        </w:rPr>
      </w:pPr>
      <w:r>
        <w:rPr>
          <w:rFonts w:ascii="Calibri" w:hAnsi="Calibri"/>
          <w:sz w:val="20"/>
          <w:szCs w:val="20"/>
        </w:rPr>
        <w:t>mgr Anna Osiej</w:t>
      </w:r>
    </w:p>
    <w:p w:rsidR="00FB2534" w:rsidRDefault="00FB2534" w:rsidP="002E6D2D">
      <w:pPr>
        <w:jc w:val="both"/>
        <w:rPr>
          <w:rFonts w:ascii="Calibri" w:hAnsi="Calibri"/>
          <w:sz w:val="20"/>
          <w:szCs w:val="20"/>
        </w:rPr>
      </w:pPr>
      <w:r>
        <w:rPr>
          <w:rFonts w:ascii="Calibri" w:hAnsi="Calibri"/>
          <w:sz w:val="20"/>
          <w:szCs w:val="20"/>
        </w:rPr>
        <w:t>mgr inż. Elżbieta Płuska</w:t>
      </w:r>
    </w:p>
    <w:p w:rsidR="00FB2534" w:rsidRDefault="00FB2534" w:rsidP="002E6D2D">
      <w:pPr>
        <w:jc w:val="both"/>
        <w:rPr>
          <w:rFonts w:ascii="Calibri" w:hAnsi="Calibri"/>
          <w:sz w:val="20"/>
          <w:szCs w:val="20"/>
        </w:rPr>
      </w:pPr>
      <w:r>
        <w:rPr>
          <w:rFonts w:ascii="Calibri" w:hAnsi="Calibri"/>
          <w:sz w:val="20"/>
          <w:szCs w:val="20"/>
        </w:rPr>
        <w:t>dr inż. Iwona Rackiewicz</w:t>
      </w:r>
    </w:p>
    <w:p w:rsidR="00FB2534" w:rsidRPr="00CE194F" w:rsidRDefault="00FB2534" w:rsidP="002E6D2D">
      <w:pPr>
        <w:jc w:val="both"/>
        <w:rPr>
          <w:rFonts w:ascii="Calibri" w:hAnsi="Calibri"/>
          <w:sz w:val="20"/>
          <w:szCs w:val="20"/>
          <w:lang w:val="en-GB"/>
        </w:rPr>
      </w:pPr>
      <w:r w:rsidRPr="009E6D9D">
        <w:rPr>
          <w:rFonts w:ascii="Calibri" w:hAnsi="Calibri"/>
          <w:sz w:val="20"/>
          <w:szCs w:val="20"/>
          <w:lang w:val="en-GB"/>
        </w:rPr>
        <w:t xml:space="preserve">mgr inż. </w:t>
      </w:r>
      <w:r w:rsidRPr="00CE194F">
        <w:rPr>
          <w:rFonts w:ascii="Calibri" w:hAnsi="Calibri"/>
          <w:sz w:val="20"/>
          <w:szCs w:val="20"/>
          <w:lang w:val="en-GB"/>
        </w:rPr>
        <w:t>Marek Rosicki</w:t>
      </w:r>
    </w:p>
    <w:p w:rsidR="00FB2534" w:rsidRPr="00CE194F" w:rsidRDefault="00FB2534" w:rsidP="002E6D2D">
      <w:pPr>
        <w:jc w:val="both"/>
        <w:rPr>
          <w:rFonts w:ascii="Calibri" w:hAnsi="Calibri"/>
          <w:sz w:val="20"/>
          <w:szCs w:val="20"/>
          <w:lang w:val="en-GB"/>
        </w:rPr>
      </w:pPr>
      <w:r w:rsidRPr="00CE194F">
        <w:rPr>
          <w:rFonts w:ascii="Calibri" w:hAnsi="Calibri"/>
          <w:sz w:val="20"/>
          <w:szCs w:val="20"/>
          <w:lang w:val="en-GB"/>
        </w:rPr>
        <w:t>Thomas Schönfelder (BA)</w:t>
      </w:r>
    </w:p>
    <w:p w:rsidR="00FB2534" w:rsidRDefault="00FB2534" w:rsidP="002E6D2D">
      <w:pPr>
        <w:jc w:val="both"/>
        <w:rPr>
          <w:rFonts w:ascii="Calibri" w:hAnsi="Calibri"/>
          <w:sz w:val="20"/>
          <w:szCs w:val="20"/>
        </w:rPr>
      </w:pPr>
      <w:r>
        <w:rPr>
          <w:rFonts w:ascii="Calibri" w:hAnsi="Calibri"/>
          <w:sz w:val="20"/>
          <w:szCs w:val="20"/>
        </w:rPr>
        <w:t>mgr Iwona Szatkowska</w:t>
      </w:r>
    </w:p>
    <w:p w:rsidR="00FB2534" w:rsidRDefault="00FB2534" w:rsidP="002E6D2D">
      <w:pPr>
        <w:jc w:val="both"/>
        <w:rPr>
          <w:rFonts w:ascii="Calibri" w:hAnsi="Calibri"/>
          <w:sz w:val="20"/>
          <w:szCs w:val="20"/>
        </w:rPr>
      </w:pPr>
      <w:r>
        <w:rPr>
          <w:rFonts w:ascii="Calibri" w:hAnsi="Calibri"/>
          <w:sz w:val="20"/>
          <w:szCs w:val="20"/>
        </w:rPr>
        <w:t>mgr inż. Magdalena Załupka</w:t>
      </w:r>
    </w:p>
    <w:p w:rsidR="00FB2534" w:rsidRPr="006A49C0" w:rsidRDefault="00FB2534" w:rsidP="00EF4F57">
      <w:pPr>
        <w:jc w:val="both"/>
        <w:rPr>
          <w:rFonts w:ascii="Calibri" w:hAnsi="Calibri"/>
          <w:sz w:val="20"/>
          <w:szCs w:val="20"/>
        </w:rPr>
      </w:pPr>
    </w:p>
    <w:p w:rsidR="00FB2534" w:rsidRPr="006A49C0" w:rsidRDefault="00FB2534" w:rsidP="0026554B">
      <w:pPr>
        <w:jc w:val="both"/>
        <w:rPr>
          <w:rFonts w:ascii="Calibri" w:hAnsi="Calibri"/>
          <w:sz w:val="20"/>
          <w:szCs w:val="20"/>
        </w:rPr>
      </w:pPr>
    </w:p>
    <w:p w:rsidR="00FB2534" w:rsidRPr="006A49C0" w:rsidRDefault="00FB2534" w:rsidP="0026554B">
      <w:pPr>
        <w:jc w:val="both"/>
        <w:rPr>
          <w:rFonts w:ascii="Calibri" w:hAnsi="Calibri"/>
          <w:sz w:val="20"/>
          <w:szCs w:val="20"/>
        </w:rPr>
      </w:pPr>
      <w:r w:rsidRPr="006A49C0">
        <w:rPr>
          <w:rFonts w:ascii="Calibri" w:hAnsi="Calibri"/>
          <w:sz w:val="20"/>
          <w:szCs w:val="20"/>
        </w:rPr>
        <w:t>weryfikacja:</w:t>
      </w:r>
    </w:p>
    <w:p w:rsidR="00FB2534" w:rsidRPr="006A49C0" w:rsidRDefault="00FB2534" w:rsidP="0026554B">
      <w:pPr>
        <w:jc w:val="both"/>
        <w:rPr>
          <w:rFonts w:ascii="Calibri" w:hAnsi="Calibri"/>
          <w:sz w:val="20"/>
          <w:szCs w:val="20"/>
        </w:rPr>
      </w:pPr>
      <w:r>
        <w:rPr>
          <w:rFonts w:ascii="Calibri" w:hAnsi="Calibri"/>
          <w:sz w:val="20"/>
          <w:szCs w:val="20"/>
        </w:rPr>
        <w:t>mgr inż. Joanna Wilczyńska</w:t>
      </w:r>
    </w:p>
    <w:p w:rsidR="00FB2534" w:rsidRDefault="00FB2534" w:rsidP="00F424A6">
      <w:pPr>
        <w:pStyle w:val="GOMnormal"/>
        <w:rPr>
          <w:i/>
        </w:rPr>
      </w:pPr>
    </w:p>
    <w:p w:rsidR="00FB2534" w:rsidRPr="006A49C0" w:rsidRDefault="00FB2534">
      <w:pPr>
        <w:rPr>
          <w:rFonts w:ascii="Trebuchet MS" w:hAnsi="Trebuchet MS" w:cs="Arial"/>
          <w:b/>
          <w:bCs/>
          <w:sz w:val="22"/>
          <w:szCs w:val="22"/>
        </w:rPr>
      </w:pPr>
      <w:bookmarkStart w:id="2" w:name="_Toc250939505"/>
      <w:bookmarkStart w:id="3" w:name="_Toc245830759"/>
      <w:r w:rsidRPr="006A49C0">
        <w:rPr>
          <w:sz w:val="22"/>
          <w:szCs w:val="22"/>
        </w:rPr>
        <w:br w:type="page"/>
      </w:r>
    </w:p>
    <w:p w:rsidR="00FB2534" w:rsidRPr="00C9613F" w:rsidRDefault="00FB2534" w:rsidP="00C9613F">
      <w:pPr>
        <w:pStyle w:val="GOMnagspis"/>
        <w:rPr>
          <w:noProof/>
        </w:rPr>
      </w:pPr>
      <w:bookmarkStart w:id="4" w:name="_Toc422133315"/>
      <w:bookmarkStart w:id="5" w:name="_Toc413188423"/>
      <w:bookmarkStart w:id="6" w:name="_Toc413185411"/>
      <w:bookmarkStart w:id="7" w:name="_Toc413185255"/>
      <w:bookmarkStart w:id="8" w:name="_Toc413184162"/>
      <w:bookmarkStart w:id="9" w:name="_Toc413154095"/>
      <w:bookmarkStart w:id="10" w:name="_Toc413153569"/>
      <w:bookmarkStart w:id="11" w:name="_Toc413153321"/>
      <w:bookmarkStart w:id="12" w:name="_Toc413136997"/>
      <w:bookmarkStart w:id="13" w:name="_Toc412025154"/>
      <w:bookmarkStart w:id="14" w:name="_Toc412020882"/>
      <w:bookmarkStart w:id="15" w:name="_Toc411932654"/>
      <w:bookmarkStart w:id="16" w:name="_Toc411932386"/>
      <w:bookmarkStart w:id="17" w:name="_Toc397942052"/>
      <w:bookmarkStart w:id="18" w:name="_Toc397941579"/>
      <w:bookmarkStart w:id="19" w:name="_Toc393453774"/>
      <w:bookmarkStart w:id="20" w:name="_Toc393453660"/>
      <w:bookmarkStart w:id="21" w:name="_Toc393452707"/>
      <w:bookmarkStart w:id="22" w:name="_Toc393439363"/>
      <w:bookmarkStart w:id="23" w:name="_Toc393436152"/>
      <w:bookmarkStart w:id="24" w:name="_Toc393267983"/>
      <w:bookmarkStart w:id="25" w:name="_Toc386605475"/>
      <w:bookmarkStart w:id="26" w:name="_Toc385572699"/>
      <w:bookmarkStart w:id="27" w:name="_Toc384914216"/>
      <w:bookmarkStart w:id="28" w:name="_Toc384914142"/>
      <w:bookmarkStart w:id="29" w:name="_Toc384649554"/>
      <w:bookmarkStart w:id="30" w:name="_Toc384642459"/>
      <w:bookmarkStart w:id="31" w:name="_Toc384333904"/>
      <w:bookmarkStart w:id="32" w:name="_Toc384304822"/>
      <w:bookmarkStart w:id="33" w:name="_Toc384196854"/>
      <w:bookmarkStart w:id="34" w:name="_Toc384186620"/>
      <w:bookmarkStart w:id="35" w:name="_Toc383562112"/>
      <w:bookmarkStart w:id="36" w:name="_Toc383150809"/>
      <w:bookmarkStart w:id="37" w:name="_Toc379220360"/>
      <w:bookmarkStart w:id="38" w:name="_Toc370074342"/>
      <w:bookmarkStart w:id="39" w:name="_Toc370984106"/>
      <w:bookmarkStart w:id="40" w:name="_Toc383123229"/>
      <w:bookmarkStart w:id="41" w:name="_Toc383125555"/>
      <w:bookmarkStart w:id="42" w:name="_Toc383166995"/>
      <w:bookmarkStart w:id="43" w:name="_Toc385579276"/>
      <w:bookmarkStart w:id="44" w:name="_Toc393444959"/>
      <w:bookmarkStart w:id="45" w:name="_Toc395247450"/>
      <w:bookmarkStart w:id="46" w:name="_Toc409107389"/>
      <w:bookmarkStart w:id="47" w:name="_Toc411974408"/>
      <w:bookmarkStart w:id="48" w:name="_Toc412008086"/>
      <w:bookmarkStart w:id="49" w:name="_Toc412201434"/>
      <w:bookmarkStart w:id="50" w:name="_Toc412881006"/>
      <w:bookmarkStart w:id="51" w:name="_Toc413139856"/>
      <w:bookmarkStart w:id="52" w:name="_Toc413140109"/>
      <w:bookmarkStart w:id="53" w:name="_Toc413156418"/>
      <w:bookmarkStart w:id="54" w:name="_Toc413156937"/>
      <w:bookmarkStart w:id="55" w:name="_Toc413185784"/>
      <w:bookmarkStart w:id="56" w:name="_Toc250939747"/>
      <w:bookmarkStart w:id="57" w:name="_Toc250939506"/>
      <w:bookmarkStart w:id="58" w:name="_Toc245830760"/>
      <w:bookmarkEnd w:id="2"/>
      <w:bookmarkEnd w:id="3"/>
      <w:r w:rsidRPr="006A49C0">
        <w:t>Spis treści</w:t>
      </w:r>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r w:rsidRPr="00AC1CBB">
        <w:fldChar w:fldCharType="begin"/>
      </w:r>
      <w:r w:rsidRPr="00AC1CBB">
        <w:instrText xml:space="preserve"> TOC \h \z \t "GOM_nagl3;3;GOM_nag_spis;1;GOM_nagl1;1;GOM_nagl2;2" </w:instrText>
      </w:r>
      <w:r w:rsidRPr="00AC1CBB">
        <w:fldChar w:fldCharType="separate"/>
      </w:r>
    </w:p>
    <w:p w:rsidR="00FB2534" w:rsidRPr="00AC1CBB" w:rsidRDefault="00FB2534">
      <w:pPr>
        <w:pStyle w:val="TOC1"/>
        <w:rPr>
          <w:rFonts w:cs="Calibri"/>
          <w:b w:val="0"/>
          <w:noProof/>
        </w:rPr>
      </w:pPr>
      <w:hyperlink w:anchor="_Toc422133316" w:history="1">
        <w:r w:rsidRPr="00AC1CBB">
          <w:rPr>
            <w:rStyle w:val="Hyperlink"/>
            <w:rFonts w:ascii="Calibri" w:hAnsi="Calibri" w:cs="Calibri"/>
            <w:noProof/>
            <w:sz w:val="20"/>
          </w:rPr>
          <w:t>1.</w:t>
        </w:r>
        <w:r w:rsidRPr="00AC1CBB">
          <w:rPr>
            <w:rFonts w:cs="Calibri"/>
            <w:b w:val="0"/>
            <w:noProof/>
          </w:rPr>
          <w:tab/>
        </w:r>
        <w:r w:rsidRPr="00AC1CBB">
          <w:rPr>
            <w:rStyle w:val="Hyperlink"/>
            <w:rFonts w:ascii="Calibri" w:hAnsi="Calibri" w:cs="Calibri"/>
            <w:noProof/>
            <w:sz w:val="20"/>
          </w:rPr>
          <w:t>Streszczenie</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_Toc422133316 \h </w:instrText>
        </w:r>
        <w:r w:rsidRPr="00AC1CBB">
          <w:rPr>
            <w:rFonts w:cs="Calibri"/>
            <w:noProof/>
            <w:webHidden/>
          </w:rPr>
        </w:r>
        <w:r w:rsidRPr="00AC1CBB">
          <w:rPr>
            <w:rFonts w:cs="Calibri"/>
            <w:noProof/>
            <w:webHidden/>
          </w:rPr>
          <w:fldChar w:fldCharType="separate"/>
        </w:r>
        <w:r>
          <w:rPr>
            <w:rFonts w:cs="Calibri"/>
            <w:noProof/>
            <w:webHidden/>
          </w:rPr>
          <w:t>3</w:t>
        </w:r>
        <w:r w:rsidRPr="00AC1CBB">
          <w:rPr>
            <w:rFonts w:cs="Calibri"/>
            <w:noProof/>
            <w:webHidden/>
          </w:rPr>
          <w:fldChar w:fldCharType="end"/>
        </w:r>
      </w:hyperlink>
    </w:p>
    <w:p w:rsidR="00FB2534" w:rsidRPr="00AC1CBB" w:rsidRDefault="00FB2534">
      <w:pPr>
        <w:pStyle w:val="TOC1"/>
        <w:rPr>
          <w:rFonts w:cs="Calibri"/>
          <w:b w:val="0"/>
          <w:noProof/>
        </w:rPr>
      </w:pPr>
      <w:hyperlink w:anchor="_Toc422133317" w:history="1">
        <w:r w:rsidRPr="00AC1CBB">
          <w:rPr>
            <w:rStyle w:val="Hyperlink"/>
            <w:rFonts w:ascii="Calibri" w:hAnsi="Calibri" w:cs="Calibri"/>
            <w:noProof/>
            <w:sz w:val="20"/>
            <w:lang w:eastAsia="ar-SA"/>
          </w:rPr>
          <w:t>2.</w:t>
        </w:r>
        <w:r w:rsidRPr="00AC1CBB">
          <w:rPr>
            <w:rFonts w:cs="Calibri"/>
            <w:b w:val="0"/>
            <w:noProof/>
          </w:rPr>
          <w:tab/>
        </w:r>
        <w:r w:rsidRPr="00AC1CBB">
          <w:rPr>
            <w:rStyle w:val="Hyperlink"/>
            <w:rFonts w:ascii="Calibri" w:hAnsi="Calibri" w:cs="Calibri"/>
            <w:noProof/>
            <w:sz w:val="20"/>
            <w:lang w:eastAsia="ar-SA"/>
          </w:rPr>
          <w:t>Podstawa opracowania</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_Toc422133317 \h </w:instrText>
        </w:r>
        <w:r w:rsidRPr="00AC1CBB">
          <w:rPr>
            <w:rFonts w:cs="Calibri"/>
            <w:noProof/>
            <w:webHidden/>
          </w:rPr>
        </w:r>
        <w:r w:rsidRPr="00AC1CBB">
          <w:rPr>
            <w:rFonts w:cs="Calibri"/>
            <w:noProof/>
            <w:webHidden/>
          </w:rPr>
          <w:fldChar w:fldCharType="separate"/>
        </w:r>
        <w:r>
          <w:rPr>
            <w:rFonts w:cs="Calibri"/>
            <w:noProof/>
            <w:webHidden/>
          </w:rPr>
          <w:t>4</w:t>
        </w:r>
        <w:r w:rsidRPr="00AC1CBB">
          <w:rPr>
            <w:rFonts w:cs="Calibri"/>
            <w:noProof/>
            <w:webHidden/>
          </w:rPr>
          <w:fldChar w:fldCharType="end"/>
        </w:r>
      </w:hyperlink>
    </w:p>
    <w:p w:rsidR="00FB2534" w:rsidRPr="00AC1CBB" w:rsidRDefault="00FB2534">
      <w:pPr>
        <w:pStyle w:val="TOC1"/>
        <w:rPr>
          <w:rFonts w:cs="Calibri"/>
          <w:b w:val="0"/>
          <w:noProof/>
        </w:rPr>
      </w:pPr>
      <w:hyperlink w:anchor="_Toc422133318" w:history="1">
        <w:r w:rsidRPr="00AC1CBB">
          <w:rPr>
            <w:rStyle w:val="Hyperlink"/>
            <w:rFonts w:ascii="Calibri" w:hAnsi="Calibri" w:cs="Calibri"/>
            <w:noProof/>
            <w:sz w:val="20"/>
          </w:rPr>
          <w:t>3.</w:t>
        </w:r>
        <w:r w:rsidRPr="00AC1CBB">
          <w:rPr>
            <w:rFonts w:cs="Calibri"/>
            <w:b w:val="0"/>
            <w:noProof/>
          </w:rPr>
          <w:tab/>
        </w:r>
        <w:r w:rsidRPr="00AC1CBB">
          <w:rPr>
            <w:rStyle w:val="Hyperlink"/>
            <w:rFonts w:ascii="Calibri" w:hAnsi="Calibri" w:cs="Calibri"/>
            <w:noProof/>
            <w:sz w:val="20"/>
          </w:rPr>
          <w:t>Struktura dokumentu</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_Toc422133318 \h </w:instrText>
        </w:r>
        <w:r w:rsidRPr="00AC1CBB">
          <w:rPr>
            <w:rFonts w:cs="Calibri"/>
            <w:noProof/>
            <w:webHidden/>
          </w:rPr>
        </w:r>
        <w:r w:rsidRPr="00AC1CBB">
          <w:rPr>
            <w:rFonts w:cs="Calibri"/>
            <w:noProof/>
            <w:webHidden/>
          </w:rPr>
          <w:fldChar w:fldCharType="separate"/>
        </w:r>
        <w:r>
          <w:rPr>
            <w:rFonts w:cs="Calibri"/>
            <w:noProof/>
            <w:webHidden/>
          </w:rPr>
          <w:t>5</w:t>
        </w:r>
        <w:r w:rsidRPr="00AC1CBB">
          <w:rPr>
            <w:rFonts w:cs="Calibri"/>
            <w:noProof/>
            <w:webHidden/>
          </w:rPr>
          <w:fldChar w:fldCharType="end"/>
        </w:r>
      </w:hyperlink>
    </w:p>
    <w:p w:rsidR="00FB2534" w:rsidRPr="00AC1CBB" w:rsidRDefault="00FB2534">
      <w:pPr>
        <w:pStyle w:val="TOC1"/>
        <w:rPr>
          <w:rFonts w:cs="Calibri"/>
          <w:b w:val="0"/>
          <w:noProof/>
        </w:rPr>
      </w:pPr>
      <w:hyperlink w:anchor="_Toc422133319" w:history="1">
        <w:r w:rsidRPr="00AC1CBB">
          <w:rPr>
            <w:rStyle w:val="Hyperlink"/>
            <w:rFonts w:ascii="Calibri" w:hAnsi="Calibri" w:cs="Calibri"/>
            <w:noProof/>
            <w:sz w:val="20"/>
          </w:rPr>
          <w:t>4.</w:t>
        </w:r>
        <w:r w:rsidRPr="00AC1CBB">
          <w:rPr>
            <w:rFonts w:cs="Calibri"/>
            <w:b w:val="0"/>
            <w:noProof/>
          </w:rPr>
          <w:tab/>
        </w:r>
        <w:r w:rsidRPr="00AC1CBB">
          <w:rPr>
            <w:rStyle w:val="Hyperlink"/>
            <w:rFonts w:ascii="Calibri" w:hAnsi="Calibri" w:cs="Calibri"/>
            <w:noProof/>
            <w:sz w:val="20"/>
          </w:rPr>
          <w:t>Ogólna strategia</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_Toc422133319 \h </w:instrText>
        </w:r>
        <w:r w:rsidRPr="00AC1CBB">
          <w:rPr>
            <w:rFonts w:cs="Calibri"/>
            <w:noProof/>
            <w:webHidden/>
          </w:rPr>
        </w:r>
        <w:r w:rsidRPr="00AC1CBB">
          <w:rPr>
            <w:rFonts w:cs="Calibri"/>
            <w:noProof/>
            <w:webHidden/>
          </w:rPr>
          <w:fldChar w:fldCharType="separate"/>
        </w:r>
        <w:r>
          <w:rPr>
            <w:rFonts w:cs="Calibri"/>
            <w:noProof/>
            <w:webHidden/>
          </w:rPr>
          <w:t>5</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20" w:history="1">
        <w:r w:rsidRPr="00AC1CBB">
          <w:rPr>
            <w:rStyle w:val="Hyperlink"/>
            <w:rFonts w:ascii="Calibri" w:hAnsi="Calibri" w:cs="Calibri"/>
            <w:sz w:val="20"/>
            <w:szCs w:val="20"/>
          </w:rPr>
          <w:t>4.1.</w:t>
        </w:r>
        <w:r w:rsidRPr="00AC1CBB">
          <w:rPr>
            <w:rFonts w:ascii="Calibri" w:hAnsi="Calibri" w:cs="Calibri"/>
            <w:sz w:val="20"/>
            <w:szCs w:val="20"/>
          </w:rPr>
          <w:tab/>
        </w:r>
        <w:r w:rsidRPr="00AC1CBB">
          <w:rPr>
            <w:rStyle w:val="Hyperlink"/>
            <w:rFonts w:ascii="Calibri" w:hAnsi="Calibri" w:cs="Calibri"/>
            <w:sz w:val="20"/>
            <w:szCs w:val="20"/>
          </w:rPr>
          <w:t>Cele strategiczne i szczegółowe</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_Toc422133320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5</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21" w:history="1">
        <w:r w:rsidRPr="00AC1CBB">
          <w:rPr>
            <w:rStyle w:val="Hyperlink"/>
            <w:rFonts w:ascii="Calibri" w:hAnsi="Calibri" w:cs="Calibri"/>
            <w:sz w:val="20"/>
            <w:szCs w:val="20"/>
          </w:rPr>
          <w:t>4.2.</w:t>
        </w:r>
        <w:r w:rsidRPr="00AC1CBB">
          <w:rPr>
            <w:rFonts w:ascii="Calibri" w:hAnsi="Calibri" w:cs="Calibri"/>
            <w:sz w:val="20"/>
            <w:szCs w:val="20"/>
          </w:rPr>
          <w:tab/>
        </w:r>
        <w:r w:rsidRPr="00AC1CBB">
          <w:rPr>
            <w:rStyle w:val="Hyperlink"/>
            <w:rFonts w:ascii="Calibri" w:hAnsi="Calibri" w:cs="Calibri"/>
            <w:sz w:val="20"/>
            <w:szCs w:val="20"/>
          </w:rPr>
          <w:t>Cele szczegółowe dla Gminy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_Toc422133321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5</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22" w:history="1">
        <w:r w:rsidRPr="00AC1CBB">
          <w:rPr>
            <w:rStyle w:val="Hyperlink"/>
            <w:rFonts w:ascii="Calibri" w:hAnsi="Calibri" w:cs="Calibri"/>
            <w:noProof/>
            <w:sz w:val="20"/>
          </w:rPr>
          <w:t>5.</w:t>
        </w:r>
        <w:r w:rsidRPr="00AC1CBB">
          <w:rPr>
            <w:rFonts w:cs="Calibri"/>
            <w:b w:val="0"/>
            <w:noProof/>
          </w:rPr>
          <w:tab/>
        </w:r>
        <w:r w:rsidRPr="00AC1CBB">
          <w:rPr>
            <w:rStyle w:val="Hyperlink"/>
            <w:rFonts w:ascii="Calibri" w:hAnsi="Calibri" w:cs="Calibri"/>
            <w:noProof/>
            <w:sz w:val="20"/>
          </w:rPr>
          <w:t>Analiza uwarunkowań prawnych i wynikających z dokumentów strategicznych</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_Toc422133322 \h </w:instrText>
        </w:r>
        <w:r w:rsidRPr="00AC1CBB">
          <w:rPr>
            <w:rFonts w:cs="Calibri"/>
            <w:noProof/>
            <w:webHidden/>
          </w:rPr>
        </w:r>
        <w:r w:rsidRPr="00AC1CBB">
          <w:rPr>
            <w:rFonts w:cs="Calibri"/>
            <w:noProof/>
            <w:webHidden/>
          </w:rPr>
          <w:fldChar w:fldCharType="separate"/>
        </w:r>
        <w:r>
          <w:rPr>
            <w:rFonts w:cs="Calibri"/>
            <w:noProof/>
            <w:webHidden/>
          </w:rPr>
          <w:t>6</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23" w:history="1">
        <w:r w:rsidRPr="00AC1CBB">
          <w:rPr>
            <w:rStyle w:val="Hyperlink"/>
            <w:rFonts w:ascii="Calibri" w:hAnsi="Calibri" w:cs="Calibri"/>
            <w:sz w:val="20"/>
            <w:szCs w:val="20"/>
          </w:rPr>
          <w:t>5.1.</w:t>
        </w:r>
        <w:r w:rsidRPr="00AC1CBB">
          <w:rPr>
            <w:rFonts w:ascii="Calibri" w:hAnsi="Calibri" w:cs="Calibri"/>
            <w:sz w:val="20"/>
            <w:szCs w:val="20"/>
          </w:rPr>
          <w:tab/>
        </w:r>
        <w:r w:rsidRPr="00AC1CBB">
          <w:rPr>
            <w:rStyle w:val="Hyperlink"/>
            <w:rFonts w:ascii="Calibri" w:hAnsi="Calibri" w:cs="Calibri"/>
            <w:sz w:val="20"/>
            <w:szCs w:val="20"/>
          </w:rPr>
          <w:t>Podstawy prawne</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_Toc422133323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6</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24" w:history="1">
        <w:r w:rsidRPr="00AC1CBB">
          <w:rPr>
            <w:rStyle w:val="Hyperlink"/>
            <w:rFonts w:ascii="Calibri" w:hAnsi="Calibri" w:cs="Calibri"/>
            <w:sz w:val="20"/>
            <w:szCs w:val="20"/>
          </w:rPr>
          <w:t>5.2.</w:t>
        </w:r>
        <w:r w:rsidRPr="00AC1CBB">
          <w:rPr>
            <w:rFonts w:ascii="Calibri" w:hAnsi="Calibri" w:cs="Calibri"/>
            <w:sz w:val="20"/>
            <w:szCs w:val="20"/>
          </w:rPr>
          <w:tab/>
        </w:r>
        <w:r w:rsidRPr="00AC1CBB">
          <w:rPr>
            <w:rStyle w:val="Hyperlink"/>
            <w:rFonts w:ascii="Calibri" w:hAnsi="Calibri" w:cs="Calibri"/>
            <w:sz w:val="20"/>
            <w:szCs w:val="20"/>
          </w:rPr>
          <w:t>Międzynarodowe dokumenty strategiczne</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_Toc422133324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6</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25" w:history="1">
        <w:r w:rsidRPr="00AC1CBB">
          <w:rPr>
            <w:rStyle w:val="Hyperlink"/>
            <w:rFonts w:ascii="Calibri" w:hAnsi="Calibri" w:cs="Calibri"/>
            <w:sz w:val="20"/>
            <w:szCs w:val="20"/>
          </w:rPr>
          <w:t>5.3.</w:t>
        </w:r>
        <w:r w:rsidRPr="00AC1CBB">
          <w:rPr>
            <w:rFonts w:ascii="Calibri" w:hAnsi="Calibri" w:cs="Calibri"/>
            <w:sz w:val="20"/>
            <w:szCs w:val="20"/>
          </w:rPr>
          <w:tab/>
        </w:r>
        <w:r w:rsidRPr="00AC1CBB">
          <w:rPr>
            <w:rStyle w:val="Hyperlink"/>
            <w:rFonts w:ascii="Calibri" w:hAnsi="Calibri" w:cs="Calibri"/>
            <w:sz w:val="20"/>
            <w:szCs w:val="20"/>
          </w:rPr>
          <w:t>Krajowe dokumenty strategiczne</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_Toc422133325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6</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26" w:history="1">
        <w:r w:rsidRPr="00AC1CBB">
          <w:rPr>
            <w:rStyle w:val="Hyperlink"/>
            <w:rFonts w:ascii="Calibri" w:hAnsi="Calibri" w:cs="Calibri"/>
            <w:sz w:val="20"/>
            <w:szCs w:val="20"/>
          </w:rPr>
          <w:t>5.4.</w:t>
        </w:r>
        <w:r w:rsidRPr="00AC1CBB">
          <w:rPr>
            <w:rFonts w:ascii="Calibri" w:hAnsi="Calibri" w:cs="Calibri"/>
            <w:sz w:val="20"/>
            <w:szCs w:val="20"/>
          </w:rPr>
          <w:tab/>
        </w:r>
        <w:r w:rsidRPr="00AC1CBB">
          <w:rPr>
            <w:rStyle w:val="Hyperlink"/>
            <w:rFonts w:ascii="Calibri" w:hAnsi="Calibri" w:cs="Calibri"/>
            <w:sz w:val="20"/>
            <w:szCs w:val="20"/>
          </w:rPr>
          <w:t>Dokumenty strategiczne na poziomie gminy – analiza i ocena zgodności celów</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_Toc422133326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6</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27" w:history="1">
        <w:r w:rsidRPr="00AC1CBB">
          <w:rPr>
            <w:rStyle w:val="Hyperlink"/>
            <w:rFonts w:ascii="Calibri" w:hAnsi="Calibri" w:cs="Calibri"/>
            <w:noProof/>
            <w:sz w:val="20"/>
          </w:rPr>
          <w:t>6.</w:t>
        </w:r>
        <w:r w:rsidRPr="00AC1CBB">
          <w:rPr>
            <w:rFonts w:cs="Calibri"/>
            <w:b w:val="0"/>
            <w:noProof/>
          </w:rPr>
          <w:tab/>
        </w:r>
        <w:r w:rsidRPr="00AC1CBB">
          <w:rPr>
            <w:rStyle w:val="Hyperlink"/>
            <w:rFonts w:ascii="Calibri" w:hAnsi="Calibri" w:cs="Calibri"/>
            <w:noProof/>
            <w:sz w:val="20"/>
          </w:rPr>
          <w:t>Analiza stanu aktualnego</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_Toc422133327 \h </w:instrText>
        </w:r>
        <w:r w:rsidRPr="00AC1CBB">
          <w:rPr>
            <w:rFonts w:cs="Calibri"/>
            <w:noProof/>
            <w:webHidden/>
          </w:rPr>
        </w:r>
        <w:r w:rsidRPr="00AC1CBB">
          <w:rPr>
            <w:rFonts w:cs="Calibri"/>
            <w:noProof/>
            <w:webHidden/>
          </w:rPr>
          <w:fldChar w:fldCharType="separate"/>
        </w:r>
        <w:r>
          <w:rPr>
            <w:rFonts w:cs="Calibri"/>
            <w:noProof/>
            <w:webHidden/>
          </w:rPr>
          <w:t>8</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28" w:history="1">
        <w:r w:rsidRPr="00AC1CBB">
          <w:rPr>
            <w:rStyle w:val="Hyperlink"/>
            <w:rFonts w:ascii="Calibri" w:hAnsi="Calibri" w:cs="Calibri"/>
            <w:sz w:val="20"/>
            <w:szCs w:val="20"/>
          </w:rPr>
          <w:t>6.1.</w:t>
        </w:r>
        <w:r w:rsidRPr="00AC1CBB">
          <w:rPr>
            <w:rFonts w:ascii="Calibri" w:hAnsi="Calibri" w:cs="Calibri"/>
            <w:sz w:val="20"/>
            <w:szCs w:val="20"/>
          </w:rPr>
          <w:tab/>
        </w:r>
        <w:r w:rsidRPr="00AC1CBB">
          <w:rPr>
            <w:rStyle w:val="Hyperlink"/>
            <w:rFonts w:ascii="Calibri" w:hAnsi="Calibri" w:cs="Calibri"/>
            <w:sz w:val="20"/>
            <w:szCs w:val="20"/>
          </w:rPr>
          <w:t>Charakterystyka obszaru GOM</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_Toc422133328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8</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29" w:history="1">
        <w:r w:rsidRPr="00AC1CBB">
          <w:rPr>
            <w:rStyle w:val="Hyperlink"/>
            <w:rFonts w:ascii="Calibri" w:hAnsi="Calibri" w:cs="Calibri"/>
            <w:sz w:val="20"/>
            <w:szCs w:val="20"/>
          </w:rPr>
          <w:t>6.2.</w:t>
        </w:r>
        <w:r w:rsidRPr="00AC1CBB">
          <w:rPr>
            <w:rFonts w:ascii="Calibri" w:hAnsi="Calibri" w:cs="Calibri"/>
            <w:sz w:val="20"/>
            <w:szCs w:val="20"/>
          </w:rPr>
          <w:tab/>
        </w:r>
        <w:r w:rsidRPr="00AC1CBB">
          <w:rPr>
            <w:rStyle w:val="Hyperlink"/>
            <w:rFonts w:ascii="Calibri" w:hAnsi="Calibri" w:cs="Calibri"/>
            <w:sz w:val="20"/>
            <w:szCs w:val="20"/>
          </w:rPr>
          <w:t>Ocena stanu środowiska na terenie GOM</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_Toc422133329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8</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30" w:history="1">
        <w:r w:rsidRPr="00AC1CBB">
          <w:rPr>
            <w:rStyle w:val="Hyperlink"/>
            <w:rFonts w:ascii="Calibri" w:hAnsi="Calibri" w:cs="Calibri"/>
            <w:sz w:val="20"/>
            <w:szCs w:val="20"/>
          </w:rPr>
          <w:t>6.3.</w:t>
        </w:r>
        <w:r w:rsidRPr="00AC1CBB">
          <w:rPr>
            <w:rFonts w:ascii="Calibri" w:hAnsi="Calibri" w:cs="Calibri"/>
            <w:sz w:val="20"/>
            <w:szCs w:val="20"/>
          </w:rPr>
          <w:tab/>
        </w:r>
        <w:r w:rsidRPr="00AC1CBB">
          <w:rPr>
            <w:rStyle w:val="Hyperlink"/>
            <w:rFonts w:ascii="Calibri" w:hAnsi="Calibri" w:cs="Calibri"/>
            <w:sz w:val="20"/>
            <w:szCs w:val="20"/>
          </w:rPr>
          <w:t>Charakterystyka obszaru Gminy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_Toc422133330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8</w:t>
        </w:r>
        <w:r w:rsidRPr="00AC1CBB">
          <w:rPr>
            <w:rFonts w:ascii="Calibri" w:hAnsi="Calibri" w:cs="Calibri"/>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1" w:history="1">
        <w:r w:rsidRPr="00AC1CBB">
          <w:rPr>
            <w:rStyle w:val="Hyperlink"/>
            <w:rFonts w:ascii="Calibri" w:hAnsi="Calibri" w:cs="Calibri"/>
            <w:noProof/>
            <w:sz w:val="20"/>
            <w:szCs w:val="20"/>
          </w:rPr>
          <w:t>6.3.1.</w:t>
        </w:r>
        <w:r w:rsidRPr="00AC1CBB">
          <w:rPr>
            <w:rFonts w:ascii="Calibri" w:hAnsi="Calibri" w:cs="Calibri"/>
            <w:noProof/>
            <w:sz w:val="20"/>
            <w:szCs w:val="20"/>
          </w:rPr>
          <w:tab/>
        </w:r>
        <w:r w:rsidRPr="00AC1CBB">
          <w:rPr>
            <w:rStyle w:val="Hyperlink"/>
            <w:rFonts w:ascii="Calibri" w:hAnsi="Calibri" w:cs="Calibri"/>
            <w:noProof/>
            <w:sz w:val="20"/>
            <w:szCs w:val="20"/>
          </w:rPr>
          <w:t>System ciepłowniczy</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_Toc422133331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9</w:t>
        </w:r>
        <w:r w:rsidRPr="00AC1CBB">
          <w:rPr>
            <w:rFonts w:ascii="Calibri" w:hAnsi="Calibri" w:cs="Calibri"/>
            <w:noProof/>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2" w:history="1">
        <w:r w:rsidRPr="00AC1CBB">
          <w:rPr>
            <w:rStyle w:val="Hyperlink"/>
            <w:rFonts w:ascii="Calibri" w:hAnsi="Calibri" w:cs="Calibri"/>
            <w:noProof/>
            <w:sz w:val="20"/>
            <w:szCs w:val="20"/>
          </w:rPr>
          <w:t>6.3.2.</w:t>
        </w:r>
        <w:r w:rsidRPr="00AC1CBB">
          <w:rPr>
            <w:rFonts w:ascii="Calibri" w:hAnsi="Calibri" w:cs="Calibri"/>
            <w:noProof/>
            <w:sz w:val="20"/>
            <w:szCs w:val="20"/>
          </w:rPr>
          <w:tab/>
        </w:r>
        <w:r w:rsidRPr="00AC1CBB">
          <w:rPr>
            <w:rStyle w:val="Hyperlink"/>
            <w:rFonts w:ascii="Calibri" w:hAnsi="Calibri" w:cs="Calibri"/>
            <w:noProof/>
            <w:sz w:val="20"/>
            <w:szCs w:val="20"/>
          </w:rPr>
          <w:t>System gazowniczy</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_Toc422133332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10</w:t>
        </w:r>
        <w:r w:rsidRPr="00AC1CBB">
          <w:rPr>
            <w:rFonts w:ascii="Calibri" w:hAnsi="Calibri" w:cs="Calibri"/>
            <w:noProof/>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3" w:history="1">
        <w:r w:rsidRPr="00AC1CBB">
          <w:rPr>
            <w:rStyle w:val="Hyperlink"/>
            <w:rFonts w:ascii="Calibri" w:hAnsi="Calibri" w:cs="Calibri"/>
            <w:noProof/>
            <w:sz w:val="20"/>
            <w:szCs w:val="20"/>
          </w:rPr>
          <w:t>6.3.3.</w:t>
        </w:r>
        <w:r w:rsidRPr="00AC1CBB">
          <w:rPr>
            <w:rFonts w:ascii="Calibri" w:hAnsi="Calibri" w:cs="Calibri"/>
            <w:noProof/>
            <w:sz w:val="20"/>
            <w:szCs w:val="20"/>
          </w:rPr>
          <w:tab/>
        </w:r>
        <w:r w:rsidRPr="00AC1CBB">
          <w:rPr>
            <w:rStyle w:val="Hyperlink"/>
            <w:rFonts w:ascii="Calibri" w:hAnsi="Calibri" w:cs="Calibri"/>
            <w:noProof/>
            <w:sz w:val="20"/>
            <w:szCs w:val="20"/>
          </w:rPr>
          <w:t>System transportowy</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_Toc422133333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10</w:t>
        </w:r>
        <w:r w:rsidRPr="00AC1CBB">
          <w:rPr>
            <w:rFonts w:ascii="Calibri" w:hAnsi="Calibri" w:cs="Calibri"/>
            <w:noProof/>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4" w:history="1">
        <w:r w:rsidRPr="00AC1CBB">
          <w:rPr>
            <w:rStyle w:val="Hyperlink"/>
            <w:rFonts w:ascii="Calibri" w:hAnsi="Calibri" w:cs="Calibri"/>
            <w:noProof/>
            <w:sz w:val="20"/>
            <w:szCs w:val="20"/>
          </w:rPr>
          <w:t>6.3.4.</w:t>
        </w:r>
        <w:r w:rsidRPr="00AC1CBB">
          <w:rPr>
            <w:rFonts w:ascii="Calibri" w:hAnsi="Calibri" w:cs="Calibri"/>
            <w:noProof/>
            <w:sz w:val="20"/>
            <w:szCs w:val="20"/>
          </w:rPr>
          <w:tab/>
        </w:r>
        <w:r w:rsidRPr="00AC1CBB">
          <w:rPr>
            <w:rStyle w:val="Hyperlink"/>
            <w:rFonts w:ascii="Calibri" w:hAnsi="Calibri" w:cs="Calibri"/>
            <w:noProof/>
            <w:sz w:val="20"/>
            <w:szCs w:val="20"/>
          </w:rPr>
          <w:t>System elektroenergetyczny</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_Toc422133334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10</w:t>
        </w:r>
        <w:r w:rsidRPr="00AC1CBB">
          <w:rPr>
            <w:rFonts w:ascii="Calibri" w:hAnsi="Calibri" w:cs="Calibri"/>
            <w:noProof/>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5" w:history="1">
        <w:r w:rsidRPr="00AC1CBB">
          <w:rPr>
            <w:rStyle w:val="Hyperlink"/>
            <w:rFonts w:ascii="Calibri" w:hAnsi="Calibri" w:cs="Calibri"/>
            <w:noProof/>
            <w:sz w:val="20"/>
            <w:szCs w:val="20"/>
          </w:rPr>
          <w:t>6.3.5.</w:t>
        </w:r>
        <w:r w:rsidRPr="00AC1CBB">
          <w:rPr>
            <w:rFonts w:ascii="Calibri" w:hAnsi="Calibri" w:cs="Calibri"/>
            <w:noProof/>
            <w:sz w:val="20"/>
            <w:szCs w:val="20"/>
          </w:rPr>
          <w:tab/>
        </w:r>
        <w:r w:rsidRPr="00AC1CBB">
          <w:rPr>
            <w:rStyle w:val="Hyperlink"/>
            <w:rFonts w:ascii="Calibri" w:hAnsi="Calibri" w:cs="Calibri"/>
            <w:noProof/>
            <w:sz w:val="20"/>
            <w:szCs w:val="20"/>
          </w:rPr>
          <w:t>Ilość systemów grzewczych opalanych paliwem stałym</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_Toc422133335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11</w:t>
        </w:r>
        <w:r w:rsidRPr="00AC1CBB">
          <w:rPr>
            <w:rFonts w:ascii="Calibri" w:hAnsi="Calibri" w:cs="Calibri"/>
            <w:noProof/>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36" w:history="1">
        <w:r w:rsidRPr="00AC1CBB">
          <w:rPr>
            <w:rStyle w:val="Hyperlink"/>
            <w:rFonts w:ascii="Calibri" w:hAnsi="Calibri" w:cs="Calibri"/>
            <w:noProof/>
            <w:sz w:val="20"/>
            <w:szCs w:val="20"/>
          </w:rPr>
          <w:t>6.3.6.</w:t>
        </w:r>
        <w:r w:rsidRPr="00AC1CBB">
          <w:rPr>
            <w:rFonts w:ascii="Calibri" w:hAnsi="Calibri" w:cs="Calibri"/>
            <w:noProof/>
            <w:sz w:val="20"/>
            <w:szCs w:val="20"/>
          </w:rPr>
          <w:tab/>
        </w:r>
        <w:r w:rsidRPr="00AC1CBB">
          <w:rPr>
            <w:rStyle w:val="Hyperlink"/>
            <w:rFonts w:ascii="Calibri" w:hAnsi="Calibri" w:cs="Calibri"/>
            <w:noProof/>
            <w:sz w:val="20"/>
            <w:szCs w:val="20"/>
          </w:rPr>
          <w:t>Istniejące źródła energii odnawialnej</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_Toc422133336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11</w:t>
        </w:r>
        <w:r w:rsidRPr="00AC1CBB">
          <w:rPr>
            <w:rFonts w:ascii="Calibri" w:hAnsi="Calibri" w:cs="Calibri"/>
            <w:noProof/>
            <w:webHidden/>
            <w:sz w:val="20"/>
            <w:szCs w:val="20"/>
          </w:rPr>
          <w:fldChar w:fldCharType="end"/>
        </w:r>
      </w:hyperlink>
    </w:p>
    <w:p w:rsidR="00FB2534" w:rsidRPr="00AC1CBB" w:rsidRDefault="00FB2534">
      <w:pPr>
        <w:pStyle w:val="TOC2"/>
        <w:rPr>
          <w:rFonts w:ascii="Calibri" w:hAnsi="Calibri" w:cs="Calibri"/>
          <w:sz w:val="20"/>
          <w:szCs w:val="20"/>
        </w:rPr>
      </w:pPr>
      <w:hyperlink w:anchor="_Toc422133337" w:history="1">
        <w:r w:rsidRPr="00AC1CBB">
          <w:rPr>
            <w:rStyle w:val="Hyperlink"/>
            <w:rFonts w:ascii="Calibri" w:hAnsi="Calibri" w:cs="Calibri"/>
            <w:sz w:val="20"/>
            <w:szCs w:val="20"/>
          </w:rPr>
          <w:t>6.4.</w:t>
        </w:r>
        <w:r w:rsidRPr="00AC1CBB">
          <w:rPr>
            <w:rFonts w:ascii="Calibri" w:hAnsi="Calibri" w:cs="Calibri"/>
            <w:sz w:val="20"/>
            <w:szCs w:val="20"/>
          </w:rPr>
          <w:tab/>
        </w:r>
        <w:r w:rsidRPr="00AC1CBB">
          <w:rPr>
            <w:rStyle w:val="Hyperlink"/>
            <w:rFonts w:ascii="Calibri" w:hAnsi="Calibri" w:cs="Calibri"/>
            <w:sz w:val="20"/>
            <w:szCs w:val="20"/>
          </w:rPr>
          <w:t>Ocena stanu środowiska na terenie Gminy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_Toc422133337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12</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38" w:history="1">
        <w:r w:rsidRPr="00AC1CBB">
          <w:rPr>
            <w:rStyle w:val="Hyperlink"/>
            <w:rFonts w:ascii="Calibri" w:hAnsi="Calibri" w:cs="Calibri"/>
            <w:noProof/>
            <w:sz w:val="20"/>
          </w:rPr>
          <w:t>7.</w:t>
        </w:r>
        <w:r w:rsidRPr="00AC1CBB">
          <w:rPr>
            <w:rFonts w:cs="Calibri"/>
            <w:b w:val="0"/>
            <w:noProof/>
          </w:rPr>
          <w:tab/>
        </w:r>
        <w:r w:rsidRPr="00AC1CBB">
          <w:rPr>
            <w:rStyle w:val="Hyperlink"/>
            <w:rFonts w:ascii="Calibri" w:hAnsi="Calibri" w:cs="Calibri"/>
            <w:noProof/>
            <w:sz w:val="20"/>
          </w:rPr>
          <w:t>Identyfikacja obszarów problemowych</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_Toc422133338 \h </w:instrText>
        </w:r>
        <w:r w:rsidRPr="00AC1CBB">
          <w:rPr>
            <w:rFonts w:cs="Calibri"/>
            <w:noProof/>
            <w:webHidden/>
          </w:rPr>
        </w:r>
        <w:r w:rsidRPr="00AC1CBB">
          <w:rPr>
            <w:rFonts w:cs="Calibri"/>
            <w:noProof/>
            <w:webHidden/>
          </w:rPr>
          <w:fldChar w:fldCharType="separate"/>
        </w:r>
        <w:r>
          <w:rPr>
            <w:rFonts w:cs="Calibri"/>
            <w:noProof/>
            <w:webHidden/>
          </w:rPr>
          <w:t>15</w:t>
        </w:r>
        <w:r w:rsidRPr="00AC1CBB">
          <w:rPr>
            <w:rFonts w:cs="Calibri"/>
            <w:noProof/>
            <w:webHidden/>
          </w:rPr>
          <w:fldChar w:fldCharType="end"/>
        </w:r>
      </w:hyperlink>
    </w:p>
    <w:p w:rsidR="00FB2534" w:rsidRPr="00AC1CBB" w:rsidRDefault="00FB2534">
      <w:pPr>
        <w:pStyle w:val="TOC1"/>
        <w:rPr>
          <w:rFonts w:cs="Calibri"/>
          <w:b w:val="0"/>
          <w:noProof/>
        </w:rPr>
      </w:pPr>
      <w:hyperlink w:anchor="_Toc422133339" w:history="1">
        <w:r w:rsidRPr="00AC1CBB">
          <w:rPr>
            <w:rStyle w:val="Hyperlink"/>
            <w:rFonts w:ascii="Calibri" w:hAnsi="Calibri" w:cs="Calibri"/>
            <w:noProof/>
            <w:sz w:val="20"/>
          </w:rPr>
          <w:t>8.</w:t>
        </w:r>
        <w:r w:rsidRPr="00AC1CBB">
          <w:rPr>
            <w:rFonts w:cs="Calibri"/>
            <w:b w:val="0"/>
            <w:noProof/>
          </w:rPr>
          <w:tab/>
        </w:r>
        <w:r w:rsidRPr="00AC1CBB">
          <w:rPr>
            <w:rStyle w:val="Hyperlink"/>
            <w:rFonts w:ascii="Calibri" w:hAnsi="Calibri" w:cs="Calibri"/>
            <w:noProof/>
            <w:sz w:val="20"/>
          </w:rPr>
          <w:t>Wyniki inwentaryzacji emisji dwutlenku węgla dla roku 2013</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_Toc422133339 \h </w:instrText>
        </w:r>
        <w:r w:rsidRPr="00AC1CBB">
          <w:rPr>
            <w:rFonts w:cs="Calibri"/>
            <w:noProof/>
            <w:webHidden/>
          </w:rPr>
        </w:r>
        <w:r w:rsidRPr="00AC1CBB">
          <w:rPr>
            <w:rFonts w:cs="Calibri"/>
            <w:noProof/>
            <w:webHidden/>
          </w:rPr>
          <w:fldChar w:fldCharType="separate"/>
        </w:r>
        <w:r>
          <w:rPr>
            <w:rFonts w:cs="Calibri"/>
            <w:noProof/>
            <w:webHidden/>
          </w:rPr>
          <w:t>15</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40" w:history="1">
        <w:r w:rsidRPr="00AC1CBB">
          <w:rPr>
            <w:rStyle w:val="Hyperlink"/>
            <w:rFonts w:ascii="Calibri" w:hAnsi="Calibri" w:cs="Calibri"/>
            <w:sz w:val="20"/>
            <w:szCs w:val="20"/>
          </w:rPr>
          <w:t>8.1.</w:t>
        </w:r>
        <w:r w:rsidRPr="00AC1CBB">
          <w:rPr>
            <w:rFonts w:ascii="Calibri" w:hAnsi="Calibri" w:cs="Calibri"/>
            <w:sz w:val="20"/>
            <w:szCs w:val="20"/>
          </w:rPr>
          <w:tab/>
        </w:r>
        <w:r w:rsidRPr="00AC1CBB">
          <w:rPr>
            <w:rStyle w:val="Hyperlink"/>
            <w:rFonts w:ascii="Calibri" w:hAnsi="Calibri" w:cs="Calibri"/>
            <w:sz w:val="20"/>
            <w:szCs w:val="20"/>
          </w:rPr>
          <w:t>Metodologia inwentaryzacji dla PGN</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_Toc422133340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16</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41" w:history="1">
        <w:r w:rsidRPr="00AC1CBB">
          <w:rPr>
            <w:rStyle w:val="Hyperlink"/>
            <w:rFonts w:ascii="Calibri" w:hAnsi="Calibri" w:cs="Calibri"/>
            <w:sz w:val="20"/>
            <w:szCs w:val="20"/>
          </w:rPr>
          <w:t>8.2.</w:t>
        </w:r>
        <w:r w:rsidRPr="00AC1CBB">
          <w:rPr>
            <w:rFonts w:ascii="Calibri" w:hAnsi="Calibri" w:cs="Calibri"/>
            <w:sz w:val="20"/>
            <w:szCs w:val="20"/>
          </w:rPr>
          <w:tab/>
        </w:r>
        <w:r w:rsidRPr="00AC1CBB">
          <w:rPr>
            <w:rStyle w:val="Hyperlink"/>
            <w:rFonts w:ascii="Calibri" w:hAnsi="Calibri" w:cs="Calibri"/>
            <w:sz w:val="20"/>
            <w:szCs w:val="20"/>
          </w:rPr>
          <w:t>Wyniki inwentaryzacji emisji dwutlenku węgla w Gminie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_Toc422133341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23</w:t>
        </w:r>
        <w:r w:rsidRPr="00AC1CBB">
          <w:rPr>
            <w:rFonts w:ascii="Calibri" w:hAnsi="Calibri" w:cs="Calibri"/>
            <w:webHidden/>
            <w:sz w:val="20"/>
            <w:szCs w:val="20"/>
          </w:rPr>
          <w:fldChar w:fldCharType="end"/>
        </w:r>
      </w:hyperlink>
    </w:p>
    <w:p w:rsidR="00FB2534" w:rsidRPr="00AC1CBB" w:rsidRDefault="00FB2534">
      <w:pPr>
        <w:pStyle w:val="TOC3"/>
        <w:tabs>
          <w:tab w:val="left" w:pos="1320"/>
        </w:tabs>
        <w:rPr>
          <w:rFonts w:ascii="Calibri" w:hAnsi="Calibri" w:cs="Calibri"/>
          <w:noProof/>
          <w:sz w:val="20"/>
          <w:szCs w:val="20"/>
        </w:rPr>
      </w:pPr>
      <w:hyperlink w:anchor="_Toc422133342" w:history="1">
        <w:r w:rsidRPr="00AC1CBB">
          <w:rPr>
            <w:rStyle w:val="Hyperlink"/>
            <w:rFonts w:ascii="Calibri" w:hAnsi="Calibri" w:cs="Calibri"/>
            <w:noProof/>
            <w:sz w:val="20"/>
            <w:szCs w:val="20"/>
          </w:rPr>
          <w:t>8.2.1.</w:t>
        </w:r>
        <w:r w:rsidRPr="00AC1CBB">
          <w:rPr>
            <w:rFonts w:ascii="Calibri" w:hAnsi="Calibri" w:cs="Calibri"/>
            <w:noProof/>
            <w:sz w:val="20"/>
            <w:szCs w:val="20"/>
          </w:rPr>
          <w:tab/>
        </w:r>
        <w:r w:rsidRPr="00AC1CBB">
          <w:rPr>
            <w:rStyle w:val="Hyperlink"/>
            <w:rFonts w:ascii="Calibri" w:hAnsi="Calibri" w:cs="Calibri"/>
            <w:noProof/>
            <w:sz w:val="20"/>
            <w:szCs w:val="20"/>
          </w:rPr>
          <w:t>Analiza głównych źródeł emisji CO</w:t>
        </w:r>
        <w:r w:rsidRPr="00AC1CBB">
          <w:rPr>
            <w:rStyle w:val="Hyperlink"/>
            <w:rFonts w:ascii="Calibri" w:hAnsi="Calibri" w:cs="Calibri"/>
            <w:noProof/>
            <w:sz w:val="20"/>
            <w:szCs w:val="20"/>
            <w:vertAlign w:val="subscript"/>
          </w:rPr>
          <w:t>2</w:t>
        </w:r>
        <w:r w:rsidRPr="00AC1CBB">
          <w:rPr>
            <w:rFonts w:ascii="Calibri" w:hAnsi="Calibri" w:cs="Calibri"/>
            <w:noProof/>
            <w:webHidden/>
            <w:sz w:val="20"/>
            <w:szCs w:val="20"/>
          </w:rPr>
          <w:tab/>
        </w:r>
        <w:r w:rsidRPr="00AC1CBB">
          <w:rPr>
            <w:rFonts w:ascii="Calibri" w:hAnsi="Calibri" w:cs="Calibri"/>
            <w:noProof/>
            <w:webHidden/>
            <w:sz w:val="20"/>
            <w:szCs w:val="20"/>
          </w:rPr>
          <w:fldChar w:fldCharType="begin"/>
        </w:r>
        <w:r w:rsidRPr="00AC1CBB">
          <w:rPr>
            <w:rFonts w:ascii="Calibri" w:hAnsi="Calibri" w:cs="Calibri"/>
            <w:noProof/>
            <w:webHidden/>
            <w:sz w:val="20"/>
            <w:szCs w:val="20"/>
          </w:rPr>
          <w:instrText xml:space="preserve"> PAGEREF _Toc422133342 \h </w:instrText>
        </w:r>
        <w:r w:rsidRPr="00AC1CBB">
          <w:rPr>
            <w:rFonts w:ascii="Calibri" w:hAnsi="Calibri" w:cs="Calibri"/>
            <w:noProof/>
            <w:webHidden/>
            <w:sz w:val="20"/>
            <w:szCs w:val="20"/>
          </w:rPr>
        </w:r>
        <w:r w:rsidRPr="00AC1CBB">
          <w:rPr>
            <w:rFonts w:ascii="Calibri" w:hAnsi="Calibri" w:cs="Calibri"/>
            <w:noProof/>
            <w:webHidden/>
            <w:sz w:val="20"/>
            <w:szCs w:val="20"/>
          </w:rPr>
          <w:fldChar w:fldCharType="separate"/>
        </w:r>
        <w:r>
          <w:rPr>
            <w:rFonts w:ascii="Calibri" w:hAnsi="Calibri" w:cs="Calibri"/>
            <w:noProof/>
            <w:webHidden/>
            <w:sz w:val="20"/>
            <w:szCs w:val="20"/>
          </w:rPr>
          <w:t>26</w:t>
        </w:r>
        <w:r w:rsidRPr="00AC1CBB">
          <w:rPr>
            <w:rFonts w:ascii="Calibri" w:hAnsi="Calibri" w:cs="Calibri"/>
            <w:noProof/>
            <w:webHidden/>
            <w:sz w:val="20"/>
            <w:szCs w:val="20"/>
          </w:rPr>
          <w:fldChar w:fldCharType="end"/>
        </w:r>
      </w:hyperlink>
    </w:p>
    <w:p w:rsidR="00FB2534" w:rsidRPr="00AC1CBB" w:rsidRDefault="00FB2534">
      <w:pPr>
        <w:pStyle w:val="TOC2"/>
        <w:rPr>
          <w:rFonts w:ascii="Calibri" w:hAnsi="Calibri" w:cs="Calibri"/>
          <w:sz w:val="20"/>
          <w:szCs w:val="20"/>
        </w:rPr>
      </w:pPr>
      <w:hyperlink w:anchor="_Toc422133343" w:history="1">
        <w:r w:rsidRPr="00AC1CBB">
          <w:rPr>
            <w:rStyle w:val="Hyperlink"/>
            <w:rFonts w:ascii="Calibri" w:hAnsi="Calibri" w:cs="Calibri"/>
            <w:sz w:val="20"/>
            <w:szCs w:val="20"/>
          </w:rPr>
          <w:t>8.3.</w:t>
        </w:r>
        <w:r w:rsidRPr="00AC1CBB">
          <w:rPr>
            <w:rFonts w:ascii="Calibri" w:hAnsi="Calibri" w:cs="Calibri"/>
            <w:sz w:val="20"/>
            <w:szCs w:val="20"/>
          </w:rPr>
          <w:tab/>
        </w:r>
        <w:r w:rsidRPr="00AC1CBB">
          <w:rPr>
            <w:rStyle w:val="Hyperlink"/>
            <w:rFonts w:ascii="Calibri" w:hAnsi="Calibri" w:cs="Calibri"/>
            <w:sz w:val="20"/>
            <w:szCs w:val="20"/>
          </w:rPr>
          <w:t>Analiza zmian emisji CO</w:t>
        </w:r>
        <w:r w:rsidRPr="00AC1CBB">
          <w:rPr>
            <w:rStyle w:val="Hyperlink"/>
            <w:rFonts w:ascii="Calibri" w:hAnsi="Calibri" w:cs="Calibri"/>
            <w:sz w:val="20"/>
            <w:szCs w:val="20"/>
            <w:vertAlign w:val="subscript"/>
          </w:rPr>
          <w:t>2</w:t>
        </w:r>
        <w:r w:rsidRPr="00AC1CBB">
          <w:rPr>
            <w:rStyle w:val="Hyperlink"/>
            <w:rFonts w:ascii="Calibri" w:hAnsi="Calibri" w:cs="Calibri"/>
            <w:sz w:val="20"/>
            <w:szCs w:val="20"/>
          </w:rPr>
          <w:t xml:space="preserve"> i zużycia energii finalnej w latach poprzedzających rok bazowy 2013</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_Toc422133343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35</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44" w:history="1">
        <w:r w:rsidRPr="00AC1CBB">
          <w:rPr>
            <w:rStyle w:val="Hyperlink"/>
            <w:rFonts w:ascii="Calibri" w:hAnsi="Calibri" w:cs="Calibri"/>
            <w:sz w:val="20"/>
            <w:szCs w:val="20"/>
          </w:rPr>
          <w:t>8.4.</w:t>
        </w:r>
        <w:r w:rsidRPr="00AC1CBB">
          <w:rPr>
            <w:rFonts w:ascii="Calibri" w:hAnsi="Calibri" w:cs="Calibri"/>
            <w:sz w:val="20"/>
            <w:szCs w:val="20"/>
          </w:rPr>
          <w:tab/>
        </w:r>
        <w:r w:rsidRPr="00AC1CBB">
          <w:rPr>
            <w:rStyle w:val="Hyperlink"/>
            <w:rFonts w:ascii="Calibri" w:hAnsi="Calibri" w:cs="Calibri"/>
            <w:sz w:val="20"/>
            <w:szCs w:val="20"/>
          </w:rPr>
          <w:t>Zestawienie emisji zanieczyszczeń powietrza z Bazy Danych PGN GOM</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_Toc422133344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38</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45" w:history="1">
        <w:r w:rsidRPr="00AC1CBB">
          <w:rPr>
            <w:rStyle w:val="Hyperlink"/>
            <w:rFonts w:ascii="Calibri" w:hAnsi="Calibri" w:cs="Calibri"/>
            <w:noProof/>
            <w:sz w:val="20"/>
          </w:rPr>
          <w:t>9.</w:t>
        </w:r>
        <w:r w:rsidRPr="00AC1CBB">
          <w:rPr>
            <w:rFonts w:cs="Calibri"/>
            <w:b w:val="0"/>
            <w:noProof/>
          </w:rPr>
          <w:tab/>
        </w:r>
        <w:r w:rsidRPr="00AC1CBB">
          <w:rPr>
            <w:rStyle w:val="Hyperlink"/>
            <w:rFonts w:ascii="Calibri" w:hAnsi="Calibri" w:cs="Calibri"/>
            <w:noProof/>
            <w:sz w:val="20"/>
          </w:rPr>
          <w:t>Działania zaplanowane na okres objęty Planem do roku 2020 z perspektywą do roku 2030</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_Toc422133345 \h </w:instrText>
        </w:r>
        <w:r w:rsidRPr="00AC1CBB">
          <w:rPr>
            <w:rFonts w:cs="Calibri"/>
            <w:noProof/>
            <w:webHidden/>
          </w:rPr>
        </w:r>
        <w:r w:rsidRPr="00AC1CBB">
          <w:rPr>
            <w:rFonts w:cs="Calibri"/>
            <w:noProof/>
            <w:webHidden/>
          </w:rPr>
          <w:fldChar w:fldCharType="separate"/>
        </w:r>
        <w:r>
          <w:rPr>
            <w:rFonts w:cs="Calibri"/>
            <w:noProof/>
            <w:webHidden/>
          </w:rPr>
          <w:t>39</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46" w:history="1">
        <w:r w:rsidRPr="00AC1CBB">
          <w:rPr>
            <w:rStyle w:val="Hyperlink"/>
            <w:rFonts w:ascii="Calibri" w:hAnsi="Calibri" w:cs="Calibri"/>
            <w:sz w:val="20"/>
            <w:szCs w:val="20"/>
          </w:rPr>
          <w:t>9.1.</w:t>
        </w:r>
        <w:r w:rsidRPr="00AC1CBB">
          <w:rPr>
            <w:rFonts w:ascii="Calibri" w:hAnsi="Calibri" w:cs="Calibri"/>
            <w:sz w:val="20"/>
            <w:szCs w:val="20"/>
          </w:rPr>
          <w:tab/>
        </w:r>
        <w:r w:rsidRPr="00AC1CBB">
          <w:rPr>
            <w:rStyle w:val="Hyperlink"/>
            <w:rFonts w:ascii="Calibri" w:hAnsi="Calibri" w:cs="Calibri"/>
            <w:sz w:val="20"/>
            <w:szCs w:val="20"/>
          </w:rPr>
          <w:t>Długoterminowa strategia, cele i zobowiązania</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_Toc422133346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39</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47" w:history="1">
        <w:r w:rsidRPr="00AC1CBB">
          <w:rPr>
            <w:rStyle w:val="Hyperlink"/>
            <w:rFonts w:ascii="Calibri" w:hAnsi="Calibri" w:cs="Calibri"/>
            <w:sz w:val="20"/>
            <w:szCs w:val="20"/>
          </w:rPr>
          <w:t>9.2.</w:t>
        </w:r>
        <w:r w:rsidRPr="00AC1CBB">
          <w:rPr>
            <w:rFonts w:ascii="Calibri" w:hAnsi="Calibri" w:cs="Calibri"/>
            <w:sz w:val="20"/>
            <w:szCs w:val="20"/>
          </w:rPr>
          <w:tab/>
        </w:r>
        <w:r w:rsidRPr="00AC1CBB">
          <w:rPr>
            <w:rStyle w:val="Hyperlink"/>
            <w:rFonts w:ascii="Calibri" w:hAnsi="Calibri" w:cs="Calibri"/>
            <w:sz w:val="20"/>
            <w:szCs w:val="20"/>
          </w:rPr>
          <w:t>Zadania krótkoterminowe i średnioterminowe</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_Toc422133347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39</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48" w:history="1">
        <w:r w:rsidRPr="00AC1CBB">
          <w:rPr>
            <w:rStyle w:val="Hyperlink"/>
            <w:rFonts w:ascii="Calibri" w:hAnsi="Calibri" w:cs="Calibri"/>
            <w:sz w:val="20"/>
            <w:szCs w:val="20"/>
          </w:rPr>
          <w:t>9.3.</w:t>
        </w:r>
        <w:r w:rsidRPr="00AC1CBB">
          <w:rPr>
            <w:rFonts w:ascii="Calibri" w:hAnsi="Calibri" w:cs="Calibri"/>
            <w:sz w:val="20"/>
            <w:szCs w:val="20"/>
          </w:rPr>
          <w:tab/>
        </w:r>
        <w:r w:rsidRPr="00AC1CBB">
          <w:rPr>
            <w:rStyle w:val="Hyperlink"/>
            <w:rFonts w:ascii="Calibri" w:hAnsi="Calibri" w:cs="Calibri"/>
            <w:sz w:val="20"/>
            <w:szCs w:val="20"/>
          </w:rPr>
          <w:t>Działania dla osiągnięcia założonych celów w Gminie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_Toc422133348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40</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49" w:history="1">
        <w:r w:rsidRPr="00AC1CBB">
          <w:rPr>
            <w:rStyle w:val="Hyperlink"/>
            <w:rFonts w:ascii="Calibri" w:hAnsi="Calibri" w:cs="Calibri"/>
            <w:sz w:val="20"/>
            <w:szCs w:val="20"/>
          </w:rPr>
          <w:t>9.4.</w:t>
        </w:r>
        <w:r w:rsidRPr="00AC1CBB">
          <w:rPr>
            <w:rFonts w:ascii="Calibri" w:hAnsi="Calibri" w:cs="Calibri"/>
            <w:sz w:val="20"/>
            <w:szCs w:val="20"/>
          </w:rPr>
          <w:tab/>
        </w:r>
        <w:r w:rsidRPr="00AC1CBB">
          <w:rPr>
            <w:rStyle w:val="Hyperlink"/>
            <w:rFonts w:ascii="Calibri" w:hAnsi="Calibri" w:cs="Calibri"/>
            <w:sz w:val="20"/>
            <w:szCs w:val="20"/>
          </w:rPr>
          <w:t>Harmonogram rzeczowo-finansowy realizacji działań w Gminie Wiejskiej Malbork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_Toc422133349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40</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50" w:history="1">
        <w:r w:rsidRPr="00AC1CBB">
          <w:rPr>
            <w:rStyle w:val="Hyperlink"/>
            <w:rFonts w:ascii="Calibri" w:hAnsi="Calibri" w:cs="Calibri"/>
            <w:sz w:val="20"/>
            <w:szCs w:val="20"/>
          </w:rPr>
          <w:t>9.5.</w:t>
        </w:r>
        <w:r w:rsidRPr="00AC1CBB">
          <w:rPr>
            <w:rFonts w:ascii="Calibri" w:hAnsi="Calibri" w:cs="Calibri"/>
            <w:sz w:val="20"/>
            <w:szCs w:val="20"/>
          </w:rPr>
          <w:tab/>
        </w:r>
        <w:r w:rsidRPr="00AC1CBB">
          <w:rPr>
            <w:rStyle w:val="Hyperlink"/>
            <w:rFonts w:ascii="Calibri" w:hAnsi="Calibri" w:cs="Calibri"/>
            <w:sz w:val="20"/>
            <w:szCs w:val="20"/>
          </w:rPr>
          <w:t>Uzyskany efekt ekologiczny i jego koszty</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_Toc422133350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48</w:t>
        </w:r>
        <w:r w:rsidRPr="00AC1CBB">
          <w:rPr>
            <w:rFonts w:ascii="Calibri" w:hAnsi="Calibri" w:cs="Calibri"/>
            <w:webHidden/>
            <w:sz w:val="20"/>
            <w:szCs w:val="20"/>
          </w:rPr>
          <w:fldChar w:fldCharType="end"/>
        </w:r>
      </w:hyperlink>
    </w:p>
    <w:p w:rsidR="00FB2534" w:rsidRPr="00AC1CBB" w:rsidRDefault="00FB2534">
      <w:pPr>
        <w:pStyle w:val="TOC2"/>
        <w:rPr>
          <w:rFonts w:ascii="Calibri" w:hAnsi="Calibri" w:cs="Calibri"/>
          <w:sz w:val="20"/>
          <w:szCs w:val="20"/>
        </w:rPr>
      </w:pPr>
      <w:hyperlink w:anchor="_Toc422133351" w:history="1">
        <w:r w:rsidRPr="00AC1CBB">
          <w:rPr>
            <w:rStyle w:val="Hyperlink"/>
            <w:rFonts w:ascii="Calibri" w:hAnsi="Calibri" w:cs="Calibri"/>
            <w:sz w:val="20"/>
            <w:szCs w:val="20"/>
          </w:rPr>
          <w:t>9.6.</w:t>
        </w:r>
        <w:r w:rsidRPr="00AC1CBB">
          <w:rPr>
            <w:rFonts w:ascii="Calibri" w:hAnsi="Calibri" w:cs="Calibri"/>
            <w:sz w:val="20"/>
            <w:szCs w:val="20"/>
          </w:rPr>
          <w:tab/>
        </w:r>
        <w:r w:rsidRPr="00AC1CBB">
          <w:rPr>
            <w:rStyle w:val="Hyperlink"/>
            <w:rFonts w:ascii="Calibri" w:hAnsi="Calibri" w:cs="Calibri"/>
            <w:sz w:val="20"/>
            <w:szCs w:val="20"/>
          </w:rPr>
          <w:t>Źródła finansowania</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_Toc422133351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48</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52" w:history="1">
        <w:r w:rsidRPr="00AC1CBB">
          <w:rPr>
            <w:rStyle w:val="Hyperlink"/>
            <w:rFonts w:ascii="Calibri" w:hAnsi="Calibri" w:cs="Calibri"/>
            <w:noProof/>
            <w:sz w:val="20"/>
          </w:rPr>
          <w:t>10.</w:t>
        </w:r>
        <w:r w:rsidRPr="00AC1CBB">
          <w:rPr>
            <w:rFonts w:cs="Calibri"/>
            <w:b w:val="0"/>
            <w:noProof/>
          </w:rPr>
          <w:tab/>
        </w:r>
        <w:r w:rsidRPr="00AC1CBB">
          <w:rPr>
            <w:rStyle w:val="Hyperlink"/>
            <w:rFonts w:ascii="Calibri" w:hAnsi="Calibri" w:cs="Calibri"/>
            <w:noProof/>
            <w:sz w:val="20"/>
          </w:rPr>
          <w:t>Aspekty organizacyjne</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_Toc422133352 \h </w:instrText>
        </w:r>
        <w:r w:rsidRPr="00AC1CBB">
          <w:rPr>
            <w:rFonts w:cs="Calibri"/>
            <w:noProof/>
            <w:webHidden/>
          </w:rPr>
        </w:r>
        <w:r w:rsidRPr="00AC1CBB">
          <w:rPr>
            <w:rFonts w:cs="Calibri"/>
            <w:noProof/>
            <w:webHidden/>
          </w:rPr>
          <w:fldChar w:fldCharType="separate"/>
        </w:r>
        <w:r>
          <w:rPr>
            <w:rFonts w:cs="Calibri"/>
            <w:noProof/>
            <w:webHidden/>
          </w:rPr>
          <w:t>48</w:t>
        </w:r>
        <w:r w:rsidRPr="00AC1CBB">
          <w:rPr>
            <w:rFonts w:cs="Calibri"/>
            <w:noProof/>
            <w:webHidden/>
          </w:rPr>
          <w:fldChar w:fldCharType="end"/>
        </w:r>
      </w:hyperlink>
    </w:p>
    <w:p w:rsidR="00FB2534" w:rsidRPr="00AC1CBB" w:rsidRDefault="00FB2534">
      <w:pPr>
        <w:pStyle w:val="TOC1"/>
        <w:rPr>
          <w:rFonts w:cs="Calibri"/>
          <w:b w:val="0"/>
          <w:noProof/>
        </w:rPr>
      </w:pPr>
      <w:hyperlink w:anchor="_Toc422133353" w:history="1">
        <w:r w:rsidRPr="00AC1CBB">
          <w:rPr>
            <w:rStyle w:val="Hyperlink"/>
            <w:rFonts w:ascii="Calibri" w:hAnsi="Calibri" w:cs="Calibri"/>
            <w:noProof/>
            <w:sz w:val="20"/>
          </w:rPr>
          <w:t>11.</w:t>
        </w:r>
        <w:r w:rsidRPr="00AC1CBB">
          <w:rPr>
            <w:rFonts w:cs="Calibri"/>
            <w:b w:val="0"/>
            <w:noProof/>
          </w:rPr>
          <w:tab/>
        </w:r>
        <w:r w:rsidRPr="00AC1CBB">
          <w:rPr>
            <w:rStyle w:val="Hyperlink"/>
            <w:rFonts w:ascii="Calibri" w:hAnsi="Calibri" w:cs="Calibri"/>
            <w:noProof/>
            <w:sz w:val="20"/>
          </w:rPr>
          <w:t>System realizacji PGN</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_Toc422133353 \h </w:instrText>
        </w:r>
        <w:r w:rsidRPr="00AC1CBB">
          <w:rPr>
            <w:rFonts w:cs="Calibri"/>
            <w:noProof/>
            <w:webHidden/>
          </w:rPr>
        </w:r>
        <w:r w:rsidRPr="00AC1CBB">
          <w:rPr>
            <w:rFonts w:cs="Calibri"/>
            <w:noProof/>
            <w:webHidden/>
          </w:rPr>
          <w:fldChar w:fldCharType="separate"/>
        </w:r>
        <w:r>
          <w:rPr>
            <w:rFonts w:cs="Calibri"/>
            <w:noProof/>
            <w:webHidden/>
          </w:rPr>
          <w:t>48</w:t>
        </w:r>
        <w:r w:rsidRPr="00AC1CBB">
          <w:rPr>
            <w:rFonts w:cs="Calibri"/>
            <w:noProof/>
            <w:webHidden/>
          </w:rPr>
          <w:fldChar w:fldCharType="end"/>
        </w:r>
      </w:hyperlink>
    </w:p>
    <w:p w:rsidR="00FB2534" w:rsidRPr="00AC1CBB" w:rsidRDefault="00FB2534">
      <w:pPr>
        <w:pStyle w:val="TOC2"/>
        <w:tabs>
          <w:tab w:val="left" w:pos="900"/>
        </w:tabs>
        <w:rPr>
          <w:rFonts w:ascii="Calibri" w:hAnsi="Calibri" w:cs="Calibri"/>
          <w:sz w:val="20"/>
          <w:szCs w:val="20"/>
        </w:rPr>
      </w:pPr>
      <w:hyperlink w:anchor="_Toc422133354" w:history="1">
        <w:r w:rsidRPr="00AC1CBB">
          <w:rPr>
            <w:rStyle w:val="Hyperlink"/>
            <w:rFonts w:ascii="Calibri" w:hAnsi="Calibri" w:cs="Calibri"/>
            <w:sz w:val="20"/>
            <w:szCs w:val="20"/>
          </w:rPr>
          <w:t>11.1.</w:t>
        </w:r>
        <w:r w:rsidRPr="00AC1CBB">
          <w:rPr>
            <w:rFonts w:ascii="Calibri" w:hAnsi="Calibri" w:cs="Calibri"/>
            <w:sz w:val="20"/>
            <w:szCs w:val="20"/>
          </w:rPr>
          <w:tab/>
        </w:r>
        <w:r w:rsidRPr="00AC1CBB">
          <w:rPr>
            <w:rStyle w:val="Hyperlink"/>
            <w:rFonts w:ascii="Calibri" w:hAnsi="Calibri" w:cs="Calibri"/>
            <w:sz w:val="20"/>
            <w:szCs w:val="20"/>
          </w:rPr>
          <w:t>Proponowane wskaźniki monitorowania i ewaluacji realizacji PGN</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_Toc422133354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48</w:t>
        </w:r>
        <w:r w:rsidRPr="00AC1CBB">
          <w:rPr>
            <w:rFonts w:ascii="Calibri" w:hAnsi="Calibri" w:cs="Calibri"/>
            <w:webHidden/>
            <w:sz w:val="20"/>
            <w:szCs w:val="20"/>
          </w:rPr>
          <w:fldChar w:fldCharType="end"/>
        </w:r>
      </w:hyperlink>
    </w:p>
    <w:p w:rsidR="00FB2534" w:rsidRPr="00AC1CBB" w:rsidRDefault="00FB2534">
      <w:pPr>
        <w:pStyle w:val="TOC2"/>
        <w:tabs>
          <w:tab w:val="left" w:pos="900"/>
        </w:tabs>
        <w:rPr>
          <w:rFonts w:ascii="Calibri" w:hAnsi="Calibri" w:cs="Calibri"/>
          <w:sz w:val="20"/>
          <w:szCs w:val="20"/>
        </w:rPr>
      </w:pPr>
      <w:hyperlink w:anchor="_Toc422133355" w:history="1">
        <w:r w:rsidRPr="00AC1CBB">
          <w:rPr>
            <w:rStyle w:val="Hyperlink"/>
            <w:rFonts w:ascii="Calibri" w:hAnsi="Calibri" w:cs="Calibri"/>
            <w:sz w:val="20"/>
            <w:szCs w:val="20"/>
          </w:rPr>
          <w:t>11.2.</w:t>
        </w:r>
        <w:r w:rsidRPr="00AC1CBB">
          <w:rPr>
            <w:rFonts w:ascii="Calibri" w:hAnsi="Calibri" w:cs="Calibri"/>
            <w:sz w:val="20"/>
            <w:szCs w:val="20"/>
          </w:rPr>
          <w:tab/>
        </w:r>
        <w:r w:rsidRPr="00AC1CBB">
          <w:rPr>
            <w:rStyle w:val="Hyperlink"/>
            <w:rFonts w:ascii="Calibri" w:hAnsi="Calibri" w:cs="Calibri"/>
            <w:sz w:val="20"/>
            <w:szCs w:val="20"/>
          </w:rPr>
          <w:t>Sposób monitorowania i raportowania efektów realizacji Planu</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_Toc422133355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48</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56" w:history="1">
        <w:r w:rsidRPr="00AC1CBB">
          <w:rPr>
            <w:rStyle w:val="Hyperlink"/>
            <w:rFonts w:ascii="Calibri" w:hAnsi="Calibri" w:cs="Calibri"/>
            <w:noProof/>
            <w:sz w:val="20"/>
          </w:rPr>
          <w:t>12.</w:t>
        </w:r>
        <w:r w:rsidRPr="00AC1CBB">
          <w:rPr>
            <w:rFonts w:cs="Calibri"/>
            <w:b w:val="0"/>
            <w:noProof/>
          </w:rPr>
          <w:tab/>
        </w:r>
        <w:r w:rsidRPr="00AC1CBB">
          <w:rPr>
            <w:rStyle w:val="Hyperlink"/>
            <w:rFonts w:ascii="Calibri" w:hAnsi="Calibri" w:cs="Calibri"/>
            <w:noProof/>
            <w:sz w:val="20"/>
          </w:rPr>
          <w:t>Literatura</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_Toc422133356 \h </w:instrText>
        </w:r>
        <w:r w:rsidRPr="00AC1CBB">
          <w:rPr>
            <w:rFonts w:cs="Calibri"/>
            <w:noProof/>
            <w:webHidden/>
          </w:rPr>
        </w:r>
        <w:r w:rsidRPr="00AC1CBB">
          <w:rPr>
            <w:rFonts w:cs="Calibri"/>
            <w:noProof/>
            <w:webHidden/>
          </w:rPr>
          <w:fldChar w:fldCharType="separate"/>
        </w:r>
        <w:r>
          <w:rPr>
            <w:rFonts w:cs="Calibri"/>
            <w:noProof/>
            <w:webHidden/>
          </w:rPr>
          <w:t>48</w:t>
        </w:r>
        <w:r w:rsidRPr="00AC1CBB">
          <w:rPr>
            <w:rFonts w:cs="Calibri"/>
            <w:noProof/>
            <w:webHidden/>
          </w:rPr>
          <w:fldChar w:fldCharType="end"/>
        </w:r>
      </w:hyperlink>
    </w:p>
    <w:p w:rsidR="00FB2534" w:rsidRPr="00AC1CBB" w:rsidRDefault="00FB2534">
      <w:pPr>
        <w:pStyle w:val="TOC2"/>
        <w:rPr>
          <w:rFonts w:ascii="Calibri" w:hAnsi="Calibri" w:cs="Calibri"/>
          <w:sz w:val="20"/>
          <w:szCs w:val="20"/>
        </w:rPr>
      </w:pPr>
      <w:hyperlink w:anchor="_Toc422133357" w:history="1">
        <w:r w:rsidRPr="00AC1CBB">
          <w:rPr>
            <w:rStyle w:val="Hyperlink"/>
            <w:rFonts w:ascii="Calibri" w:hAnsi="Calibri" w:cs="Calibri"/>
            <w:sz w:val="20"/>
            <w:szCs w:val="20"/>
          </w:rPr>
          <w:t>Załącznik</w:t>
        </w:r>
        <w:r w:rsidRPr="00AC1CBB">
          <w:rPr>
            <w:rFonts w:ascii="Calibri" w:hAnsi="Calibri" w:cs="Calibri"/>
            <w:webHidden/>
            <w:sz w:val="20"/>
            <w:szCs w:val="20"/>
          </w:rPr>
          <w:tab/>
        </w:r>
        <w:r w:rsidRPr="00AC1CBB">
          <w:rPr>
            <w:rFonts w:ascii="Calibri" w:hAnsi="Calibri" w:cs="Calibri"/>
            <w:webHidden/>
            <w:sz w:val="20"/>
            <w:szCs w:val="20"/>
          </w:rPr>
          <w:fldChar w:fldCharType="begin"/>
        </w:r>
        <w:r w:rsidRPr="00AC1CBB">
          <w:rPr>
            <w:rFonts w:ascii="Calibri" w:hAnsi="Calibri" w:cs="Calibri"/>
            <w:webHidden/>
            <w:sz w:val="20"/>
            <w:szCs w:val="20"/>
          </w:rPr>
          <w:instrText xml:space="preserve"> PAGEREF _Toc422133357 \h </w:instrText>
        </w:r>
        <w:r w:rsidRPr="00AC1CBB">
          <w:rPr>
            <w:rFonts w:ascii="Calibri" w:hAnsi="Calibri" w:cs="Calibri"/>
            <w:webHidden/>
            <w:sz w:val="20"/>
            <w:szCs w:val="20"/>
          </w:rPr>
        </w:r>
        <w:r w:rsidRPr="00AC1CBB">
          <w:rPr>
            <w:rFonts w:ascii="Calibri" w:hAnsi="Calibri" w:cs="Calibri"/>
            <w:webHidden/>
            <w:sz w:val="20"/>
            <w:szCs w:val="20"/>
          </w:rPr>
          <w:fldChar w:fldCharType="separate"/>
        </w:r>
        <w:r>
          <w:rPr>
            <w:rFonts w:ascii="Calibri" w:hAnsi="Calibri" w:cs="Calibri"/>
            <w:webHidden/>
            <w:sz w:val="20"/>
            <w:szCs w:val="20"/>
          </w:rPr>
          <w:t>50</w:t>
        </w:r>
        <w:r w:rsidRPr="00AC1CBB">
          <w:rPr>
            <w:rFonts w:ascii="Calibri" w:hAnsi="Calibri" w:cs="Calibri"/>
            <w:webHidden/>
            <w:sz w:val="20"/>
            <w:szCs w:val="20"/>
          </w:rPr>
          <w:fldChar w:fldCharType="end"/>
        </w:r>
      </w:hyperlink>
    </w:p>
    <w:p w:rsidR="00FB2534" w:rsidRPr="00AC1CBB" w:rsidRDefault="00FB2534">
      <w:pPr>
        <w:pStyle w:val="TOC1"/>
        <w:rPr>
          <w:rFonts w:cs="Calibri"/>
          <w:b w:val="0"/>
          <w:noProof/>
        </w:rPr>
      </w:pPr>
      <w:hyperlink w:anchor="_Toc422133358" w:history="1">
        <w:r w:rsidRPr="00AC1CBB">
          <w:rPr>
            <w:rStyle w:val="Hyperlink"/>
            <w:rFonts w:ascii="Calibri" w:hAnsi="Calibri" w:cs="Calibri"/>
            <w:noProof/>
            <w:sz w:val="20"/>
          </w:rPr>
          <w:t>Spis tabel</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_Toc422133358 \h </w:instrText>
        </w:r>
        <w:r w:rsidRPr="00AC1CBB">
          <w:rPr>
            <w:rFonts w:cs="Calibri"/>
            <w:noProof/>
            <w:webHidden/>
          </w:rPr>
        </w:r>
        <w:r w:rsidRPr="00AC1CBB">
          <w:rPr>
            <w:rFonts w:cs="Calibri"/>
            <w:noProof/>
            <w:webHidden/>
          </w:rPr>
          <w:fldChar w:fldCharType="separate"/>
        </w:r>
        <w:r>
          <w:rPr>
            <w:rFonts w:cs="Calibri"/>
            <w:noProof/>
            <w:webHidden/>
          </w:rPr>
          <w:t>51</w:t>
        </w:r>
        <w:r w:rsidRPr="00AC1CBB">
          <w:rPr>
            <w:rFonts w:cs="Calibri"/>
            <w:noProof/>
            <w:webHidden/>
          </w:rPr>
          <w:fldChar w:fldCharType="end"/>
        </w:r>
      </w:hyperlink>
    </w:p>
    <w:p w:rsidR="00FB2534" w:rsidRPr="00B93B80" w:rsidRDefault="00FB2534" w:rsidP="00A51C15">
      <w:pPr>
        <w:pStyle w:val="TOC1"/>
        <w:sectPr w:rsidR="00FB2534" w:rsidRPr="00B93B80" w:rsidSect="00C77850">
          <w:headerReference w:type="even" r:id="rId12"/>
          <w:headerReference w:type="default" r:id="rId13"/>
          <w:footerReference w:type="even" r:id="rId14"/>
          <w:footerReference w:type="default" r:id="rId15"/>
          <w:pgSz w:w="11906" w:h="16838"/>
          <w:pgMar w:top="1417" w:right="1417" w:bottom="1417" w:left="1417" w:header="709" w:footer="709" w:gutter="0"/>
          <w:pgNumType w:start="0"/>
          <w:cols w:space="708"/>
          <w:titlePg/>
          <w:docGrid w:linePitch="360"/>
        </w:sectPr>
      </w:pPr>
      <w:hyperlink w:anchor="_Toc422133359" w:history="1">
        <w:r w:rsidRPr="00AC1CBB">
          <w:rPr>
            <w:rStyle w:val="Hyperlink"/>
            <w:rFonts w:ascii="Calibri" w:hAnsi="Calibri" w:cs="Calibri"/>
            <w:noProof/>
            <w:sz w:val="20"/>
          </w:rPr>
          <w:t>Spis rysunków</w:t>
        </w:r>
        <w:r w:rsidRPr="00AC1CBB">
          <w:rPr>
            <w:rFonts w:cs="Calibri"/>
            <w:noProof/>
            <w:webHidden/>
          </w:rPr>
          <w:tab/>
        </w:r>
        <w:r w:rsidRPr="00AC1CBB">
          <w:rPr>
            <w:rFonts w:cs="Calibri"/>
            <w:noProof/>
            <w:webHidden/>
          </w:rPr>
          <w:fldChar w:fldCharType="begin"/>
        </w:r>
        <w:r w:rsidRPr="00AC1CBB">
          <w:rPr>
            <w:rFonts w:cs="Calibri"/>
            <w:noProof/>
            <w:webHidden/>
          </w:rPr>
          <w:instrText xml:space="preserve"> PAGEREF _Toc422133359 \h </w:instrText>
        </w:r>
        <w:r w:rsidRPr="00AC1CBB">
          <w:rPr>
            <w:rFonts w:cs="Calibri"/>
            <w:noProof/>
            <w:webHidden/>
          </w:rPr>
        </w:r>
        <w:r w:rsidRPr="00AC1CBB">
          <w:rPr>
            <w:rFonts w:cs="Calibri"/>
            <w:noProof/>
            <w:webHidden/>
          </w:rPr>
          <w:fldChar w:fldCharType="separate"/>
        </w:r>
        <w:r>
          <w:rPr>
            <w:rFonts w:cs="Calibri"/>
            <w:noProof/>
            <w:webHidden/>
          </w:rPr>
          <w:t>52</w:t>
        </w:r>
        <w:r w:rsidRPr="00AC1CBB">
          <w:rPr>
            <w:rFonts w:cs="Calibri"/>
            <w:noProof/>
            <w:webHidden/>
          </w:rPr>
          <w:fldChar w:fldCharType="end"/>
        </w:r>
      </w:hyperlink>
      <w:r w:rsidRPr="00AC1CBB">
        <w:fldChar w:fldCharType="end"/>
      </w:r>
      <w:bookmarkEnd w:id="56"/>
    </w:p>
    <w:p w:rsidR="00FB2534" w:rsidRPr="006E339E" w:rsidRDefault="00FB2534" w:rsidP="00EE1860">
      <w:pPr>
        <w:pStyle w:val="GOMnagl1"/>
        <w:ind w:left="360"/>
      </w:pPr>
      <w:bookmarkStart w:id="59" w:name="_Toc416348862"/>
      <w:bookmarkStart w:id="60" w:name="_Toc422133316"/>
      <w:bookmarkStart w:id="61" w:name="_Toc237154507"/>
      <w:bookmarkStart w:id="62" w:name="_Toc243932496"/>
      <w:bookmarkStart w:id="63" w:name="_Toc247829659"/>
      <w:bookmarkStart w:id="64" w:name="_Toc247829929"/>
      <w:bookmarkStart w:id="65" w:name="_Toc247830513"/>
      <w:bookmarkStart w:id="66" w:name="_Toc248256524"/>
      <w:bookmarkStart w:id="67" w:name="_Toc249207128"/>
      <w:bookmarkStart w:id="68" w:name="_Toc250939509"/>
      <w:bookmarkStart w:id="69" w:name="_Toc251317273"/>
      <w:bookmarkEnd w:id="57"/>
      <w:bookmarkEnd w:id="58"/>
      <w:r>
        <w:t>Streszczenie</w:t>
      </w:r>
      <w:bookmarkEnd w:id="59"/>
      <w:bookmarkEnd w:id="60"/>
    </w:p>
    <w:p w:rsidR="00FB2534" w:rsidRPr="003C44B9" w:rsidRDefault="00FB2534" w:rsidP="00EE1860">
      <w:pPr>
        <w:pStyle w:val="Mnormal"/>
        <w:rPr>
          <w:lang w:eastAsia="ar-SA"/>
        </w:rPr>
      </w:pPr>
      <w:r>
        <w:rPr>
          <w:lang w:eastAsia="ar-SA"/>
        </w:rPr>
        <w:t>Plany</w:t>
      </w:r>
      <w:r w:rsidRPr="003C44B9">
        <w:rPr>
          <w:lang w:eastAsia="ar-SA"/>
        </w:rPr>
        <w:t xml:space="preserve"> gospodarki niskoemisyjnej</w:t>
      </w:r>
      <w:r>
        <w:rPr>
          <w:lang w:eastAsia="ar-SA"/>
        </w:rPr>
        <w:t xml:space="preserve"> (PGN) </w:t>
      </w:r>
      <w:r w:rsidRPr="00AC1CBB">
        <w:t xml:space="preserve">dla </w:t>
      </w:r>
      <w:r>
        <w:t xml:space="preserve">Gdańskiego Obszaru Metropolitalnego (GOM), </w:t>
      </w:r>
      <w:r>
        <w:rPr>
          <w:lang w:eastAsia="ar-SA"/>
        </w:rPr>
        <w:t xml:space="preserve">31 gmin GOM (które przystąpiły do opracowania) oraz dla </w:t>
      </w:r>
      <w:r>
        <w:t xml:space="preserve">Związku Zintegrowanych Inwestycji Terytorialnych </w:t>
      </w:r>
      <w:r w:rsidRPr="003C44B9">
        <w:rPr>
          <w:lang w:eastAsia="ar-SA"/>
        </w:rPr>
        <w:t>został</w:t>
      </w:r>
      <w:r>
        <w:rPr>
          <w:lang w:eastAsia="ar-SA"/>
        </w:rPr>
        <w:t>y opracowane</w:t>
      </w:r>
      <w:r w:rsidRPr="003C44B9">
        <w:rPr>
          <w:lang w:eastAsia="ar-SA"/>
        </w:rPr>
        <w:t xml:space="preserve">, aby m.in. przyczynić się do osiągnięcia celów określonych w pakiecie klimatyczno-energetycznym do roku 2020, tj.: </w:t>
      </w:r>
    </w:p>
    <w:p w:rsidR="00FB2534" w:rsidRPr="003C44B9" w:rsidRDefault="00FB2534" w:rsidP="00EE1860">
      <w:pPr>
        <w:pStyle w:val="Mwypkt"/>
        <w:numPr>
          <w:ilvl w:val="0"/>
          <w:numId w:val="21"/>
        </w:numPr>
        <w:rPr>
          <w:lang w:eastAsia="ar-SA"/>
        </w:rPr>
      </w:pPr>
      <w:r w:rsidRPr="003C44B9">
        <w:rPr>
          <w:lang w:eastAsia="ar-SA"/>
        </w:rPr>
        <w:t xml:space="preserve">redukcji emisji gazów cieplarnianych, </w:t>
      </w:r>
    </w:p>
    <w:p w:rsidR="00FB2534" w:rsidRPr="003C44B9" w:rsidRDefault="00FB2534" w:rsidP="00EE1860">
      <w:pPr>
        <w:pStyle w:val="Mwypkt"/>
        <w:numPr>
          <w:ilvl w:val="0"/>
          <w:numId w:val="21"/>
        </w:numPr>
        <w:rPr>
          <w:lang w:eastAsia="ar-SA"/>
        </w:rPr>
      </w:pPr>
      <w:r w:rsidRPr="003C44B9">
        <w:rPr>
          <w:lang w:eastAsia="ar-SA"/>
        </w:rPr>
        <w:t>zwiększenia udziału energii pochodzącej z</w:t>
      </w:r>
      <w:r>
        <w:rPr>
          <w:lang w:eastAsia="ar-SA"/>
        </w:rPr>
        <w:t>e</w:t>
      </w:r>
      <w:r w:rsidRPr="003C44B9">
        <w:rPr>
          <w:lang w:eastAsia="ar-SA"/>
        </w:rPr>
        <w:t xml:space="preserve"> źródeł odnawialnych,</w:t>
      </w:r>
    </w:p>
    <w:p w:rsidR="00FB2534" w:rsidRPr="003C44B9" w:rsidRDefault="00FB2534" w:rsidP="00EE1860">
      <w:pPr>
        <w:pStyle w:val="Mwypkt"/>
        <w:numPr>
          <w:ilvl w:val="0"/>
          <w:numId w:val="21"/>
        </w:numPr>
        <w:rPr>
          <w:lang w:eastAsia="ar-SA"/>
        </w:rPr>
      </w:pPr>
      <w:r w:rsidRPr="003C44B9">
        <w:rPr>
          <w:lang w:eastAsia="ar-SA"/>
        </w:rPr>
        <w:t xml:space="preserve">redukcji zużycia energii finalnej, co ma zostać zrealizowane poprzez podniesienie efektywności energetycznej, </w:t>
      </w:r>
    </w:p>
    <w:p w:rsidR="00FB2534" w:rsidRPr="003C44B9" w:rsidRDefault="00FB2534" w:rsidP="00EE1860">
      <w:pPr>
        <w:pStyle w:val="Mnormal"/>
        <w:rPr>
          <w:lang w:eastAsia="ar-SA"/>
        </w:rPr>
      </w:pPr>
      <w:r w:rsidRPr="003C44B9">
        <w:rPr>
          <w:lang w:eastAsia="ar-SA"/>
        </w:rPr>
        <w:t>a także do poprawy jakości powietrza na obszarach, na których odnotowano przekroczenia dopuszczalnych poziomów stężeń</w:t>
      </w:r>
      <w:r>
        <w:rPr>
          <w:lang w:eastAsia="ar-SA"/>
        </w:rPr>
        <w:t xml:space="preserve"> substancji</w:t>
      </w:r>
      <w:r w:rsidRPr="003C44B9">
        <w:rPr>
          <w:lang w:eastAsia="ar-SA"/>
        </w:rPr>
        <w:t xml:space="preserve"> w powietrzu i </w:t>
      </w:r>
      <w:r>
        <w:rPr>
          <w:lang w:eastAsia="ar-SA"/>
        </w:rPr>
        <w:t>wdrażane</w:t>
      </w:r>
      <w:r w:rsidRPr="003C44B9">
        <w:rPr>
          <w:lang w:eastAsia="ar-SA"/>
        </w:rPr>
        <w:t xml:space="preserve"> są programy (naprawcze) ochrony powietrza (POP) oraz plany działań krótkoterminowych (PDK). </w:t>
      </w:r>
      <w:r>
        <w:rPr>
          <w:lang w:eastAsia="ar-SA"/>
        </w:rPr>
        <w:t xml:space="preserve">W ogólnym ujęciu realizacja zadań określonych w PGN powinna prowadzić do poprawy </w:t>
      </w:r>
      <w:r w:rsidRPr="003C44B9">
        <w:rPr>
          <w:lang w:eastAsia="ar-SA"/>
        </w:rPr>
        <w:t xml:space="preserve">stanu środowiska i jakości życia mieszkańców na terenie </w:t>
      </w:r>
      <w:r>
        <w:rPr>
          <w:lang w:eastAsia="ar-SA"/>
        </w:rPr>
        <w:t xml:space="preserve">objętym Planem. </w:t>
      </w:r>
    </w:p>
    <w:p w:rsidR="00FB2534" w:rsidRPr="00ED74CA" w:rsidRDefault="00FB2534" w:rsidP="00EE1860">
      <w:pPr>
        <w:pStyle w:val="GOMnormal"/>
      </w:pPr>
      <w:r>
        <w:t xml:space="preserve">Opracowanie planów gospodarki niskoemisyjnej w przedstawionym zakresie </w:t>
      </w:r>
      <w:r w:rsidRPr="00ED74CA">
        <w:t>wynika z realizacji przez S</w:t>
      </w:r>
      <w:r>
        <w:t xml:space="preserve">towarzyszenie </w:t>
      </w:r>
      <w:r w:rsidRPr="00ED74CA">
        <w:t>GOM projektu pn. „Plan gospodarki niskoemisyjnej dla Gdańskiego Obszaru Metropolitalnego”</w:t>
      </w:r>
      <w:r>
        <w:t xml:space="preserve"> nr </w:t>
      </w:r>
      <w:r w:rsidRPr="00ED74CA">
        <w:t>KSI POIS.09.03.00-00-377/13, współfinansowanego przez Unię Europejską w ramach Programu Operacyjnego Infrastruktura i Środowisko, Działanie 9.3.</w:t>
      </w:r>
      <w:r>
        <w:t xml:space="preserve"> </w:t>
      </w:r>
      <w:r>
        <w:rPr>
          <w:bCs/>
        </w:rPr>
        <w:t>– konkurs 2 pn. Termomodernizacja obiektów użyteczności publicznej – plany gospodarki niskoemisyjnej.</w:t>
      </w:r>
      <w:r w:rsidRPr="00ED74CA">
        <w:t xml:space="preserve"> Podstawą formalną opracowa</w:t>
      </w:r>
      <w:r>
        <w:t>ń</w:t>
      </w:r>
      <w:r w:rsidRPr="00ED74CA">
        <w:t xml:space="preserve"> jest umowa pomiędzy Stowarzyszeniem Gdański Obszar Metropolita</w:t>
      </w:r>
      <w:r>
        <w:t>l</w:t>
      </w:r>
      <w:r w:rsidRPr="00ED74CA">
        <w:t>ny</w:t>
      </w:r>
      <w:r>
        <w:t>,</w:t>
      </w:r>
      <w:r w:rsidRPr="00ED74CA">
        <w:t xml:space="preserve"> a firmą ATMOTERM S.A</w:t>
      </w:r>
      <w:r>
        <w:t>., zawarta w dniu 16.01.2015 r.</w:t>
      </w:r>
    </w:p>
    <w:p w:rsidR="00FB2534" w:rsidRPr="003C44B9" w:rsidRDefault="00FB2534" w:rsidP="00EE1860">
      <w:pPr>
        <w:pStyle w:val="Mnormal"/>
        <w:rPr>
          <w:lang w:eastAsia="ar-SA"/>
        </w:rPr>
      </w:pPr>
      <w:r w:rsidRPr="003C44B9">
        <w:rPr>
          <w:lang w:eastAsia="ar-SA"/>
        </w:rPr>
        <w:t xml:space="preserve">W dokumencie skoncentrowano się na działaniach </w:t>
      </w:r>
      <w:r>
        <w:rPr>
          <w:lang w:eastAsia="ar-SA"/>
        </w:rPr>
        <w:t xml:space="preserve">ograniczających emisję </w:t>
      </w:r>
      <w:r w:rsidRPr="003C44B9">
        <w:rPr>
          <w:lang w:eastAsia="ar-SA"/>
        </w:rPr>
        <w:t xml:space="preserve">i efektywnie wykorzystujących zasoby, w tym </w:t>
      </w:r>
      <w:r>
        <w:rPr>
          <w:lang w:eastAsia="ar-SA"/>
        </w:rPr>
        <w:t xml:space="preserve">na </w:t>
      </w:r>
      <w:r w:rsidRPr="003C44B9">
        <w:rPr>
          <w:lang w:eastAsia="ar-SA"/>
        </w:rPr>
        <w:t>poprawie efektywności energetycznej</w:t>
      </w:r>
      <w:r>
        <w:rPr>
          <w:lang w:eastAsia="ar-SA"/>
        </w:rPr>
        <w:t xml:space="preserve"> i</w:t>
      </w:r>
      <w:r w:rsidRPr="003C44B9">
        <w:rPr>
          <w:lang w:eastAsia="ar-SA"/>
        </w:rPr>
        <w:t xml:space="preserve"> wykorzystaniu OZE, czyli </w:t>
      </w:r>
      <w:r>
        <w:rPr>
          <w:lang w:eastAsia="ar-SA"/>
        </w:rPr>
        <w:t xml:space="preserve">również </w:t>
      </w:r>
      <w:r w:rsidRPr="003C44B9">
        <w:rPr>
          <w:lang w:eastAsia="ar-SA"/>
        </w:rPr>
        <w:t>mających na celu zmniejszenie emisji zanieczyszczeń do powietrza, ze szczególnym uwzględnieniem obszarów, na których odnotowano przekroczenia dopuszczalnych stężeń w powietrzu</w:t>
      </w:r>
      <w:r>
        <w:rPr>
          <w:lang w:eastAsia="ar-SA"/>
        </w:rPr>
        <w:t>.</w:t>
      </w:r>
    </w:p>
    <w:p w:rsidR="00FB2534" w:rsidRPr="00DB52D1" w:rsidRDefault="00FB2534" w:rsidP="00EE1860">
      <w:pPr>
        <w:pStyle w:val="Mnormal"/>
        <w:rPr>
          <w:lang w:eastAsia="ar-SA"/>
        </w:rPr>
      </w:pPr>
      <w:r w:rsidRPr="003C44B9">
        <w:rPr>
          <w:lang w:eastAsia="ar-SA"/>
        </w:rPr>
        <w:t xml:space="preserve">Zachowano </w:t>
      </w:r>
      <w:r w:rsidRPr="00DB52D1">
        <w:rPr>
          <w:lang w:eastAsia="ar-SA"/>
        </w:rPr>
        <w:t>spójność z Aktualizacją projektu założeń do planu zaopatrzenia w ciepło, energię elektryczną i</w:t>
      </w:r>
      <w:r>
        <w:rPr>
          <w:lang w:eastAsia="ar-SA"/>
        </w:rPr>
        <w:t> </w:t>
      </w:r>
      <w:r w:rsidRPr="00DB52D1">
        <w:rPr>
          <w:lang w:eastAsia="ar-SA"/>
        </w:rPr>
        <w:t>paliwa gazowe gminy Malbork</w:t>
      </w:r>
      <w:r w:rsidRPr="00DB52D1">
        <w:rPr>
          <w:rStyle w:val="FootnoteReference"/>
          <w:lang w:eastAsia="ar-SA"/>
        </w:rPr>
        <w:footnoteReference w:id="1"/>
      </w:r>
      <w:r w:rsidRPr="00DB52D1">
        <w:rPr>
          <w:lang w:eastAsia="ar-SA"/>
        </w:rPr>
        <w:t xml:space="preserve"> oraz Programem ochrony powietrza dla strefy pomorskiej</w:t>
      </w:r>
      <w:r w:rsidRPr="00DB52D1">
        <w:rPr>
          <w:rStyle w:val="FootnoteReference"/>
          <w:lang w:eastAsia="ar-SA"/>
        </w:rPr>
        <w:footnoteReference w:id="2"/>
      </w:r>
      <w:r w:rsidRPr="00DB52D1">
        <w:rPr>
          <w:lang w:eastAsia="ar-SA"/>
        </w:rPr>
        <w:t xml:space="preserve">, a także innymi dokumentami strategicznymi. </w:t>
      </w:r>
    </w:p>
    <w:p w:rsidR="00FB2534" w:rsidRDefault="00FB2534" w:rsidP="00EE1860">
      <w:pPr>
        <w:pStyle w:val="Mnormal"/>
        <w:rPr>
          <w:lang w:eastAsia="ar-SA"/>
        </w:rPr>
      </w:pPr>
      <w:r w:rsidRPr="00DB52D1">
        <w:rPr>
          <w:lang w:eastAsia="ar-SA"/>
        </w:rPr>
        <w:t>Celem PGN dla Gminy Malbork jest określenie, na podstawie analizy aktualnego stanu w zakresie zużycia energii i emisji gazów cieplarnianych oraz zanieczyszczeń powietrza na obszarze gminy, działań zmierzających do redukcji zużycia energii, zwiększenia wykorzystania źródeł odnawialnych</w:t>
      </w:r>
      <w:r w:rsidRPr="003C44B9">
        <w:rPr>
          <w:lang w:eastAsia="ar-SA"/>
        </w:rPr>
        <w:t xml:space="preserve"> oraz ograniczenia emisji gazów cieplarnianych</w:t>
      </w:r>
      <w:r>
        <w:rPr>
          <w:lang w:eastAsia="ar-SA"/>
        </w:rPr>
        <w:t xml:space="preserve"> i zanieczyszczeń powietrza </w:t>
      </w:r>
      <w:r w:rsidRPr="003C44B9">
        <w:rPr>
          <w:lang w:eastAsia="ar-SA"/>
        </w:rPr>
        <w:t>wraz z  oceną ich efektywności</w:t>
      </w:r>
      <w:r>
        <w:rPr>
          <w:lang w:eastAsia="ar-SA"/>
        </w:rPr>
        <w:t xml:space="preserve"> ekologicznej, określeniem kosztów i możliwych źródeł finansowania</w:t>
      </w:r>
      <w:r w:rsidRPr="003C44B9">
        <w:rPr>
          <w:lang w:eastAsia="ar-SA"/>
        </w:rPr>
        <w:t>.</w:t>
      </w:r>
      <w:r>
        <w:rPr>
          <w:lang w:eastAsia="ar-SA"/>
        </w:rPr>
        <w:t xml:space="preserve"> </w:t>
      </w:r>
    </w:p>
    <w:p w:rsidR="00FB2534" w:rsidRDefault="00FB2534" w:rsidP="00EE1860">
      <w:pPr>
        <w:pStyle w:val="Mnormal"/>
        <w:rPr>
          <w:lang w:eastAsia="ar-SA"/>
        </w:rPr>
      </w:pPr>
      <w:r w:rsidRPr="003C44B9">
        <w:rPr>
          <w:lang w:eastAsia="ar-SA"/>
        </w:rPr>
        <w:t xml:space="preserve">W </w:t>
      </w:r>
      <w:r>
        <w:rPr>
          <w:lang w:eastAsia="ar-SA"/>
        </w:rPr>
        <w:t xml:space="preserve">ramach </w:t>
      </w:r>
      <w:r w:rsidRPr="003C44B9">
        <w:rPr>
          <w:lang w:eastAsia="ar-SA"/>
        </w:rPr>
        <w:t xml:space="preserve">PGN ujęto analizę uwarunkowań </w:t>
      </w:r>
      <w:r>
        <w:rPr>
          <w:lang w:eastAsia="ar-SA"/>
        </w:rPr>
        <w:t>wynikających z przepisów prawa oraz</w:t>
      </w:r>
      <w:r w:rsidRPr="003C44B9">
        <w:rPr>
          <w:lang w:eastAsia="ar-SA"/>
        </w:rPr>
        <w:t xml:space="preserve"> dokumentów strategicznych </w:t>
      </w:r>
      <w:r>
        <w:rPr>
          <w:lang w:eastAsia="ar-SA"/>
        </w:rPr>
        <w:t>globalnych, UE, Polski, województwa oraz gminy</w:t>
      </w:r>
      <w:r w:rsidRPr="003C44B9">
        <w:rPr>
          <w:lang w:eastAsia="ar-SA"/>
        </w:rPr>
        <w:t>.</w:t>
      </w:r>
    </w:p>
    <w:p w:rsidR="00FB2534" w:rsidRPr="00563002" w:rsidRDefault="00FB2534" w:rsidP="00EE1860">
      <w:pPr>
        <w:pStyle w:val="GOMnormal"/>
        <w:rPr>
          <w:lang w:eastAsia="ar-SA"/>
        </w:rPr>
      </w:pPr>
      <w:r>
        <w:rPr>
          <w:lang w:eastAsia="ar-SA"/>
        </w:rPr>
        <w:t xml:space="preserve">Biorąc pod uwagę cele ww. dokumentów strategicznych, jako cel główny opracowania i realizacji Planu gospodarki niskoemisyjnej przyjęto: </w:t>
      </w:r>
      <w:r w:rsidRPr="00563002">
        <w:rPr>
          <w:b/>
        </w:rPr>
        <w:t>Wsparcie zrównoważonego rozwoju i integracji Gdańskiego Obszaru Metropolita</w:t>
      </w:r>
      <w:r>
        <w:rPr>
          <w:b/>
        </w:rPr>
        <w:t>l</w:t>
      </w:r>
      <w:r w:rsidRPr="00563002">
        <w:rPr>
          <w:b/>
        </w:rPr>
        <w:t xml:space="preserve">nego poprzez transformacje w kierunku gospodarki niskoemisyjnej, przyjaznej środowisku, w tym osiągniecie </w:t>
      </w:r>
      <w:r>
        <w:rPr>
          <w:b/>
        </w:rPr>
        <w:t>celów podstawowych</w:t>
      </w:r>
      <w:r w:rsidRPr="00563002">
        <w:t>,</w:t>
      </w:r>
      <w:r>
        <w:rPr>
          <w:b/>
        </w:rPr>
        <w:t xml:space="preserve"> </w:t>
      </w:r>
      <w:r w:rsidRPr="00563002">
        <w:t>przedstawionych</w:t>
      </w:r>
      <w:r>
        <w:t xml:space="preserve"> we wstępie. </w:t>
      </w:r>
      <w:r w:rsidRPr="00563002">
        <w:t xml:space="preserve">  </w:t>
      </w:r>
    </w:p>
    <w:p w:rsidR="00FB2534" w:rsidRPr="00DF4946" w:rsidRDefault="00FB2534" w:rsidP="00EE1860">
      <w:pPr>
        <w:pStyle w:val="GOMnormal"/>
        <w:rPr>
          <w:lang w:eastAsia="ar-SA"/>
        </w:rPr>
      </w:pPr>
      <w:r w:rsidRPr="00DF4946">
        <w:rPr>
          <w:lang w:eastAsia="ar-SA"/>
        </w:rPr>
        <w:t>W szczególności</w:t>
      </w:r>
      <w:r>
        <w:rPr>
          <w:lang w:eastAsia="ar-SA"/>
        </w:rPr>
        <w:t>,</w:t>
      </w:r>
      <w:r w:rsidRPr="00DF4946">
        <w:rPr>
          <w:lang w:eastAsia="ar-SA"/>
        </w:rPr>
        <w:t xml:space="preserve"> celami strategicznymi będ</w:t>
      </w:r>
      <w:r>
        <w:rPr>
          <w:lang w:eastAsia="ar-SA"/>
        </w:rPr>
        <w:t>ą</w:t>
      </w:r>
      <w:r w:rsidRPr="00DF4946">
        <w:rPr>
          <w:lang w:eastAsia="ar-SA"/>
        </w:rPr>
        <w:t>, zgodnie z pakietem energetyczno – klimatycznym</w:t>
      </w:r>
      <w:r w:rsidRPr="00563002">
        <w:rPr>
          <w:vertAlign w:val="superscript"/>
          <w:lang w:eastAsia="ar-SA"/>
        </w:rPr>
        <w:footnoteReference w:id="3"/>
      </w:r>
      <w:r>
        <w:rPr>
          <w:lang w:eastAsia="ar-SA"/>
        </w:rPr>
        <w:t>,</w:t>
      </w:r>
      <w:r w:rsidRPr="00DF4946">
        <w:rPr>
          <w:lang w:eastAsia="ar-SA"/>
        </w:rPr>
        <w:t xml:space="preserve"> osiągnięcie do roku 2020 r., w ramach UE:</w:t>
      </w:r>
    </w:p>
    <w:p w:rsidR="00FB2534" w:rsidRPr="00563002" w:rsidRDefault="00FB2534" w:rsidP="00EE1860">
      <w:pPr>
        <w:pStyle w:val="ListParagraph"/>
        <w:numPr>
          <w:ilvl w:val="0"/>
          <w:numId w:val="30"/>
        </w:numPr>
        <w:spacing w:after="200" w:line="276" w:lineRule="auto"/>
        <w:rPr>
          <w:sz w:val="20"/>
          <w:szCs w:val="20"/>
        </w:rPr>
      </w:pPr>
      <w:r w:rsidRPr="00563002">
        <w:rPr>
          <w:sz w:val="20"/>
          <w:szCs w:val="20"/>
        </w:rPr>
        <w:t>20% redukcji emisji gazów cieplarnianych;</w:t>
      </w:r>
    </w:p>
    <w:p w:rsidR="00FB2534" w:rsidRPr="00563002" w:rsidRDefault="00FB2534" w:rsidP="00EE1860">
      <w:pPr>
        <w:pStyle w:val="ListParagraph"/>
        <w:numPr>
          <w:ilvl w:val="0"/>
          <w:numId w:val="30"/>
        </w:numPr>
        <w:spacing w:after="200" w:line="276" w:lineRule="auto"/>
        <w:rPr>
          <w:sz w:val="20"/>
          <w:szCs w:val="20"/>
        </w:rPr>
      </w:pPr>
      <w:r w:rsidRPr="00563002">
        <w:rPr>
          <w:sz w:val="20"/>
          <w:szCs w:val="20"/>
        </w:rPr>
        <w:t>20% udziału energii odnawialnej w bilansie energetycznym;</w:t>
      </w:r>
    </w:p>
    <w:p w:rsidR="00FB2534" w:rsidRPr="00563002" w:rsidRDefault="00FB2534" w:rsidP="00EE1860">
      <w:pPr>
        <w:pStyle w:val="ListParagraph"/>
        <w:numPr>
          <w:ilvl w:val="0"/>
          <w:numId w:val="30"/>
        </w:numPr>
        <w:spacing w:after="200" w:line="276" w:lineRule="auto"/>
        <w:rPr>
          <w:sz w:val="20"/>
          <w:szCs w:val="20"/>
        </w:rPr>
      </w:pPr>
      <w:r w:rsidRPr="00563002">
        <w:rPr>
          <w:sz w:val="20"/>
          <w:szCs w:val="20"/>
        </w:rPr>
        <w:t>20% oszczędności w zużyciu energii;</w:t>
      </w:r>
    </w:p>
    <w:p w:rsidR="00FB2534" w:rsidRPr="00563002" w:rsidRDefault="00FB2534" w:rsidP="00EE1860">
      <w:pPr>
        <w:pStyle w:val="ListParagraph"/>
        <w:numPr>
          <w:ilvl w:val="0"/>
          <w:numId w:val="30"/>
        </w:numPr>
        <w:spacing w:after="200" w:line="276" w:lineRule="auto"/>
        <w:rPr>
          <w:sz w:val="20"/>
          <w:szCs w:val="20"/>
        </w:rPr>
      </w:pPr>
      <w:r>
        <w:rPr>
          <w:sz w:val="20"/>
          <w:szCs w:val="20"/>
        </w:rPr>
        <w:t>10% udziału biopaliw.</w:t>
      </w:r>
    </w:p>
    <w:p w:rsidR="00FB2534" w:rsidRDefault="00FB2534" w:rsidP="00EE1860">
      <w:pPr>
        <w:pStyle w:val="Mnormal"/>
        <w:rPr>
          <w:lang w:eastAsia="ar-SA"/>
        </w:rPr>
      </w:pPr>
      <w:r>
        <w:rPr>
          <w:lang w:eastAsia="ar-SA"/>
        </w:rPr>
        <w:t>Cele szczegółowe dla gminy określono w wybranych, najistotniejszych sekcjach spośród działów gospodarki wymienionych w Założeniach Narodowego Programu Rozwoju Gospodarki Niskoemisyjnej (NPRGN)</w:t>
      </w:r>
      <w:r>
        <w:rPr>
          <w:rStyle w:val="FootnoteReference"/>
          <w:lang w:eastAsia="ar-SA"/>
        </w:rPr>
        <w:footnoteReference w:id="4"/>
      </w:r>
      <w:r>
        <w:rPr>
          <w:lang w:eastAsia="ar-SA"/>
        </w:rPr>
        <w:t xml:space="preserve">, uwzględniając wpływ podejmowanych w ramach nich działań na osiągnięcie celu głównego. Wśród nich znalazły się: </w:t>
      </w:r>
      <w:r>
        <w:t>energetyka</w:t>
      </w:r>
      <w:r w:rsidRPr="00C93478">
        <w:t>, budownictwo</w:t>
      </w:r>
      <w:r>
        <w:t xml:space="preserve"> (w tym </w:t>
      </w:r>
      <w:r w:rsidRPr="00EB7930">
        <w:t>gospodarstwa domowe, budynki administracji publicznej itp.)</w:t>
      </w:r>
      <w:r>
        <w:t>, transport oraz</w:t>
      </w:r>
      <w:r w:rsidRPr="00C93478">
        <w:t xml:space="preserve"> </w:t>
      </w:r>
      <w:r>
        <w:rPr>
          <w:lang w:eastAsia="ar-SA"/>
        </w:rPr>
        <w:t>edukacja.</w:t>
      </w:r>
    </w:p>
    <w:p w:rsidR="00FB2534" w:rsidRPr="006E5411" w:rsidRDefault="00FB2534" w:rsidP="00EE1860">
      <w:pPr>
        <w:pStyle w:val="GOMnormal"/>
        <w:rPr>
          <w:highlight w:val="lightGray"/>
        </w:rPr>
      </w:pPr>
      <w:r w:rsidRPr="003C44B9">
        <w:rPr>
          <w:lang w:eastAsia="ar-SA"/>
        </w:rPr>
        <w:t xml:space="preserve">W analizie stanu aktualnego </w:t>
      </w:r>
      <w:r>
        <w:rPr>
          <w:lang w:eastAsia="ar-SA"/>
        </w:rPr>
        <w:t xml:space="preserve">zawarto ogólną charakterystykę gminy, w tym w zakresie istniejących systemów: ciepłowniczego, gazowniczego, transportowego, elektroenergetycznego, systemów grzewczych opalanych paliwem stałym oraz istniejących źródeł energii odnawialnej, a także </w:t>
      </w:r>
      <w:r w:rsidRPr="003C44B9">
        <w:rPr>
          <w:lang w:eastAsia="ar-SA"/>
        </w:rPr>
        <w:t>dokonano oceny stanu środowiska</w:t>
      </w:r>
      <w:r>
        <w:rPr>
          <w:lang w:eastAsia="ar-SA"/>
        </w:rPr>
        <w:t>. Na tej podstawie, biorąc jednocześnie pod uwagę wyniki analizy dokumentów strategicznych,  zidentyfikowano główne obszary problemowe.</w:t>
      </w:r>
      <w:r w:rsidRPr="003C44B9">
        <w:rPr>
          <w:lang w:eastAsia="ar-SA"/>
        </w:rPr>
        <w:t xml:space="preserve"> </w:t>
      </w:r>
      <w:r>
        <w:rPr>
          <w:lang w:eastAsia="ar-SA"/>
        </w:rPr>
        <w:t>W dalszej części dokonano oceny energochłonności i </w:t>
      </w:r>
      <w:r w:rsidRPr="003C44B9">
        <w:rPr>
          <w:lang w:eastAsia="ar-SA"/>
        </w:rPr>
        <w:t>emisyjności</w:t>
      </w:r>
      <w:r>
        <w:rPr>
          <w:lang w:eastAsia="ar-SA"/>
        </w:rPr>
        <w:t xml:space="preserve"> na terenie gminy w następujących obszarach: budynki użyteczności publicznej, budynki mieszkalne, budynki usługowe, oświetlenie uliczne, transport publiczny i prywatny, przemysł, energetyka, instalacje OZE, obszary rolnicze, obszary leśne oraz gospodarka odpadami. </w:t>
      </w:r>
    </w:p>
    <w:p w:rsidR="00FB2534" w:rsidRPr="003C44B9" w:rsidRDefault="00FB2534" w:rsidP="00EE1860">
      <w:pPr>
        <w:pStyle w:val="Mnormal"/>
        <w:rPr>
          <w:lang w:eastAsia="ar-SA"/>
        </w:rPr>
      </w:pPr>
      <w:r>
        <w:rPr>
          <w:lang w:eastAsia="ar-SA"/>
        </w:rPr>
        <w:t>W</w:t>
      </w:r>
      <w:r w:rsidRPr="003C44B9">
        <w:rPr>
          <w:lang w:eastAsia="ar-SA"/>
        </w:rPr>
        <w:t xml:space="preserve">yniki inwentaryzacji emisji dwutlenku węgla </w:t>
      </w:r>
      <w:r>
        <w:rPr>
          <w:lang w:eastAsia="ar-SA"/>
        </w:rPr>
        <w:t xml:space="preserve">i zużycia </w:t>
      </w:r>
      <w:r w:rsidRPr="0080194E">
        <w:t xml:space="preserve">energii finalnej </w:t>
      </w:r>
      <w:r>
        <w:rPr>
          <w:lang w:eastAsia="ar-SA"/>
        </w:rPr>
        <w:t>p</w:t>
      </w:r>
      <w:r w:rsidRPr="003C44B9">
        <w:rPr>
          <w:lang w:eastAsia="ar-SA"/>
        </w:rPr>
        <w:t xml:space="preserve">rzedstawiono </w:t>
      </w:r>
      <w:r w:rsidRPr="0080194E">
        <w:t xml:space="preserve">w podziale na </w:t>
      </w:r>
      <w:r>
        <w:t>ww. obszary,</w:t>
      </w:r>
      <w:r w:rsidRPr="003C44B9">
        <w:rPr>
          <w:lang w:eastAsia="ar-SA"/>
        </w:rPr>
        <w:t xml:space="preserve"> dla </w:t>
      </w:r>
      <w:r w:rsidRPr="008040B6">
        <w:rPr>
          <w:lang w:eastAsia="ar-SA"/>
        </w:rPr>
        <w:t>roku bazowego 2013</w:t>
      </w:r>
      <w:r>
        <w:rPr>
          <w:lang w:eastAsia="ar-SA"/>
        </w:rPr>
        <w:t>. Przeanalizowano również zmiany emisji CO</w:t>
      </w:r>
      <w:r w:rsidRPr="00B2693D">
        <w:rPr>
          <w:vertAlign w:val="subscript"/>
          <w:lang w:eastAsia="ar-SA"/>
        </w:rPr>
        <w:t>2</w:t>
      </w:r>
      <w:r>
        <w:rPr>
          <w:lang w:eastAsia="ar-SA"/>
        </w:rPr>
        <w:t xml:space="preserve"> w latach poprzedzających rok bazowy. Sumaryczna emisja CO</w:t>
      </w:r>
      <w:r w:rsidRPr="00173E9D">
        <w:rPr>
          <w:vertAlign w:val="subscript"/>
          <w:lang w:eastAsia="ar-SA"/>
        </w:rPr>
        <w:t>2</w:t>
      </w:r>
      <w:r>
        <w:rPr>
          <w:lang w:eastAsia="ar-SA"/>
        </w:rPr>
        <w:t xml:space="preserve"> z obszaru gminy dla roku 2013 wynosiła 32 587,51</w:t>
      </w:r>
      <w:r w:rsidRPr="0047236D">
        <w:rPr>
          <w:lang w:eastAsia="ar-SA"/>
        </w:rPr>
        <w:t>Mg</w:t>
      </w:r>
      <w:r>
        <w:rPr>
          <w:lang w:eastAsia="ar-SA"/>
        </w:rPr>
        <w:t>CO</w:t>
      </w:r>
      <w:r>
        <w:rPr>
          <w:vertAlign w:val="subscript"/>
          <w:lang w:eastAsia="ar-SA"/>
        </w:rPr>
        <w:t>2eq</w:t>
      </w:r>
      <w:r>
        <w:rPr>
          <w:lang w:eastAsia="ar-SA"/>
        </w:rPr>
        <w:t xml:space="preserve">, a zużycie energii finalnej: 96 672,12MWh. </w:t>
      </w:r>
      <w:r w:rsidRPr="003C44B9">
        <w:rPr>
          <w:lang w:eastAsia="ar-SA"/>
        </w:rPr>
        <w:t xml:space="preserve">Uwzględniając powyższe analizy, stan środowiska, główne </w:t>
      </w:r>
      <w:r>
        <w:rPr>
          <w:lang w:eastAsia="ar-SA"/>
        </w:rPr>
        <w:t xml:space="preserve">obszary </w:t>
      </w:r>
      <w:r w:rsidRPr="003C44B9">
        <w:rPr>
          <w:lang w:eastAsia="ar-SA"/>
        </w:rPr>
        <w:t>problem</w:t>
      </w:r>
      <w:r>
        <w:rPr>
          <w:lang w:eastAsia="ar-SA"/>
        </w:rPr>
        <w:t>owe</w:t>
      </w:r>
      <w:r w:rsidRPr="003C44B9">
        <w:rPr>
          <w:lang w:eastAsia="ar-SA"/>
        </w:rPr>
        <w:t>, obowiązujące i</w:t>
      </w:r>
      <w:r>
        <w:rPr>
          <w:lang w:eastAsia="ar-SA"/>
        </w:rPr>
        <w:t xml:space="preserve"> </w:t>
      </w:r>
      <w:r w:rsidRPr="003C44B9">
        <w:rPr>
          <w:lang w:eastAsia="ar-SA"/>
        </w:rPr>
        <w:t>planowane zmiany przepisów prawa polskiego i unijnego, programy i</w:t>
      </w:r>
      <w:r>
        <w:rPr>
          <w:lang w:eastAsia="ar-SA"/>
        </w:rPr>
        <w:t> </w:t>
      </w:r>
      <w:r w:rsidRPr="003C44B9">
        <w:rPr>
          <w:lang w:eastAsia="ar-SA"/>
        </w:rPr>
        <w:t>strategie rządowe, regionalne i</w:t>
      </w:r>
      <w:r>
        <w:rPr>
          <w:lang w:eastAsia="ar-SA"/>
        </w:rPr>
        <w:t xml:space="preserve"> </w:t>
      </w:r>
      <w:r w:rsidRPr="003C44B9">
        <w:rPr>
          <w:lang w:eastAsia="ar-SA"/>
        </w:rPr>
        <w:t>lokalne koncepcje oraz dokumenty planistyczne</w:t>
      </w:r>
      <w:r>
        <w:rPr>
          <w:lang w:eastAsia="ar-SA"/>
        </w:rPr>
        <w:t>,</w:t>
      </w:r>
      <w:r w:rsidRPr="003C44B9">
        <w:rPr>
          <w:lang w:eastAsia="ar-SA"/>
        </w:rPr>
        <w:t xml:space="preserve"> w PGN określono cele krótkoterminowe </w:t>
      </w:r>
      <w:r>
        <w:rPr>
          <w:lang w:eastAsia="ar-SA"/>
        </w:rPr>
        <w:t xml:space="preserve">– </w:t>
      </w:r>
      <w:r w:rsidRPr="003C44B9">
        <w:rPr>
          <w:lang w:eastAsia="ar-SA"/>
        </w:rPr>
        <w:t>na lata 201</w:t>
      </w:r>
      <w:r>
        <w:rPr>
          <w:lang w:eastAsia="ar-SA"/>
        </w:rPr>
        <w:t>5</w:t>
      </w:r>
      <w:r w:rsidRPr="003C44B9">
        <w:rPr>
          <w:lang w:eastAsia="ar-SA"/>
        </w:rPr>
        <w:t>-20</w:t>
      </w:r>
      <w:r>
        <w:rPr>
          <w:lang w:eastAsia="ar-SA"/>
        </w:rPr>
        <w:t xml:space="preserve">17, średnioterminowe – na lata 2018-2020 oraz </w:t>
      </w:r>
      <w:r w:rsidRPr="003C44B9">
        <w:rPr>
          <w:lang w:eastAsia="ar-SA"/>
        </w:rPr>
        <w:t xml:space="preserve">długoterminowe </w:t>
      </w:r>
      <w:r>
        <w:rPr>
          <w:lang w:eastAsia="ar-SA"/>
        </w:rPr>
        <w:t>po roku 2020 d</w:t>
      </w:r>
      <w:r w:rsidRPr="003C44B9">
        <w:rPr>
          <w:lang w:eastAsia="ar-SA"/>
        </w:rPr>
        <w:t>o roku 203</w:t>
      </w:r>
      <w:r>
        <w:rPr>
          <w:lang w:eastAsia="ar-SA"/>
        </w:rPr>
        <w:t>0.</w:t>
      </w:r>
    </w:p>
    <w:p w:rsidR="00FB2534" w:rsidRDefault="00FB2534" w:rsidP="00EE1860">
      <w:pPr>
        <w:pStyle w:val="GOMnormal"/>
        <w:rPr>
          <w:lang w:eastAsia="ar-SA"/>
        </w:rPr>
      </w:pPr>
      <w:r>
        <w:rPr>
          <w:lang w:eastAsia="ar-SA"/>
        </w:rPr>
        <w:t>Wśród działań priorytetowych dla gminy należy wymienić m.in.:</w:t>
      </w:r>
    </w:p>
    <w:p w:rsidR="00FB2534" w:rsidRPr="00CB366E" w:rsidRDefault="00FB2534" w:rsidP="00C53C9A">
      <w:pPr>
        <w:pStyle w:val="GOMlista"/>
        <w:numPr>
          <w:ilvl w:val="0"/>
          <w:numId w:val="33"/>
        </w:numPr>
        <w:rPr>
          <w:lang w:eastAsia="ar-SA"/>
        </w:rPr>
      </w:pPr>
      <w:r w:rsidRPr="00CB366E">
        <w:rPr>
          <w:lang w:eastAsia="ar-SA"/>
        </w:rPr>
        <w:t>w zakresie działań krótkoterminowych: wyznaczenie stref, w których można budować tylko budynki niskoemisyjne, modernizacja oświetlenia ulicznego;</w:t>
      </w:r>
    </w:p>
    <w:p w:rsidR="00FB2534" w:rsidRPr="00CB366E" w:rsidRDefault="00FB2534" w:rsidP="00C53C9A">
      <w:pPr>
        <w:pStyle w:val="GOMlista"/>
        <w:numPr>
          <w:ilvl w:val="0"/>
          <w:numId w:val="33"/>
        </w:numPr>
        <w:rPr>
          <w:lang w:eastAsia="ar-SA"/>
        </w:rPr>
      </w:pPr>
      <w:r w:rsidRPr="00CB366E">
        <w:rPr>
          <w:lang w:eastAsia="ar-SA"/>
        </w:rPr>
        <w:t>w zakresie działań średnioterminowych: termomodernizacja budynków użyteczności publicznej, modernizacja źródeł ciepła w obiektach użyteczności publicznej lub podłączenie ich do sieci ciepłowniczej Miasta Malbork;</w:t>
      </w:r>
    </w:p>
    <w:p w:rsidR="00FB2534" w:rsidRPr="00CB366E" w:rsidRDefault="00FB2534" w:rsidP="00C53C9A">
      <w:pPr>
        <w:pStyle w:val="GOMlista"/>
        <w:numPr>
          <w:ilvl w:val="0"/>
          <w:numId w:val="33"/>
        </w:numPr>
        <w:rPr>
          <w:lang w:eastAsia="ar-SA"/>
        </w:rPr>
      </w:pPr>
      <w:r w:rsidRPr="00CB366E">
        <w:rPr>
          <w:lang w:eastAsia="ar-SA"/>
        </w:rPr>
        <w:t>w zakresie działań długoterminowych: rozbudowa sieci gazowej, montaż mikroinstalacji odnawialnych źródeł energii, modernizacja oświetlenia w budynkach użyteczności publicznej, wprowadzenie systemu dopłat w zakresie ograniczania niskiej emisji, poprawa stanu technicznego dróg, budowa dróg rowerowych wraz z niezbędną infrastrukturą (parkingi dla rowerów przy obiektach publicznych, garaże rowerowe), kampanie społeczne (promujące oszczędzanie energii, odnawialne źródła energii, termomodernizacje budynków mieszkalnych)</w:t>
      </w:r>
      <w:r>
        <w:rPr>
          <w:lang w:eastAsia="ar-SA"/>
        </w:rPr>
        <w:t>.</w:t>
      </w:r>
    </w:p>
    <w:p w:rsidR="00FB2534" w:rsidRDefault="00FB2534" w:rsidP="00EE1860">
      <w:pPr>
        <w:pStyle w:val="GOMnormal"/>
        <w:rPr>
          <w:rFonts w:cs="Arial"/>
          <w:bCs/>
          <w:color w:val="000000"/>
          <w:sz w:val="18"/>
          <w:szCs w:val="18"/>
        </w:rPr>
      </w:pPr>
      <w:r>
        <w:t xml:space="preserve">W wyniku realizacji działań przedstawionych w harmonogramie na terenie Gminy Malbork zostanie osiągnięty efekt w postaci obniżenia zużycia energii finalnej na poziomie </w:t>
      </w:r>
      <w:r>
        <w:rPr>
          <w:b/>
        </w:rPr>
        <w:t>2201,1</w:t>
      </w:r>
      <w:r w:rsidRPr="008015B5">
        <w:rPr>
          <w:b/>
        </w:rPr>
        <w:t xml:space="preserve"> MWh/rok</w:t>
      </w:r>
      <w:r>
        <w:t xml:space="preserve"> oraz efekt ekologiczny – w postaci redukcji emisji dwutlenku węgla ekwiwalentnego w wysokości </w:t>
      </w:r>
      <w:r>
        <w:rPr>
          <w:b/>
        </w:rPr>
        <w:t>1544,3 </w:t>
      </w:r>
      <w:r w:rsidRPr="00B230E0">
        <w:rPr>
          <w:b/>
        </w:rPr>
        <w:t>Mg</w:t>
      </w:r>
      <w:r w:rsidRPr="008015B5">
        <w:rPr>
          <w:rFonts w:cs="Arial"/>
          <w:b/>
          <w:bCs/>
          <w:color w:val="000000"/>
          <w:sz w:val="18"/>
          <w:szCs w:val="18"/>
        </w:rPr>
        <w:t>CO</w:t>
      </w:r>
      <w:r w:rsidRPr="008015B5">
        <w:rPr>
          <w:rFonts w:cs="Arial"/>
          <w:b/>
          <w:bCs/>
          <w:color w:val="000000"/>
          <w:sz w:val="18"/>
          <w:szCs w:val="18"/>
          <w:vertAlign w:val="subscript"/>
        </w:rPr>
        <w:t>2</w:t>
      </w:r>
      <w:r>
        <w:rPr>
          <w:rFonts w:cs="Arial"/>
          <w:b/>
          <w:bCs/>
          <w:color w:val="000000"/>
          <w:sz w:val="18"/>
          <w:szCs w:val="18"/>
          <w:vertAlign w:val="subscript"/>
        </w:rPr>
        <w:t>eq</w:t>
      </w:r>
      <w:r>
        <w:rPr>
          <w:rFonts w:cs="Arial"/>
          <w:b/>
          <w:bCs/>
          <w:color w:val="000000"/>
          <w:sz w:val="18"/>
          <w:szCs w:val="18"/>
        </w:rPr>
        <w:t>/rok</w:t>
      </w:r>
      <w:r>
        <w:rPr>
          <w:rFonts w:cs="Arial"/>
          <w:bCs/>
          <w:color w:val="000000"/>
          <w:sz w:val="18"/>
          <w:szCs w:val="18"/>
        </w:rPr>
        <w:t>.</w:t>
      </w:r>
    </w:p>
    <w:p w:rsidR="00FB2534" w:rsidRDefault="00FB2534" w:rsidP="00EE1860">
      <w:pPr>
        <w:pStyle w:val="GOMnormal"/>
      </w:pPr>
      <w:r>
        <w:t>Szacunkowe całkowite koszty realizacji działań wyniosą</w:t>
      </w:r>
      <w:r w:rsidRPr="00892139">
        <w:rPr>
          <w:b/>
        </w:rPr>
        <w:t xml:space="preserve"> </w:t>
      </w:r>
      <w:r>
        <w:rPr>
          <w:b/>
        </w:rPr>
        <w:t>10172</w:t>
      </w:r>
      <w:r w:rsidRPr="00892139">
        <w:rPr>
          <w:b/>
        </w:rPr>
        <w:t>,5</w:t>
      </w:r>
      <w:r w:rsidRPr="008015B5">
        <w:rPr>
          <w:b/>
        </w:rPr>
        <w:t xml:space="preserve"> tys. zł</w:t>
      </w:r>
      <w:r>
        <w:t>.</w:t>
      </w:r>
    </w:p>
    <w:p w:rsidR="00FB2534" w:rsidRDefault="00FB2534" w:rsidP="00EE1860">
      <w:pPr>
        <w:pStyle w:val="Mnormal"/>
        <w:rPr>
          <w:lang w:eastAsia="ar-SA"/>
        </w:rPr>
      </w:pPr>
      <w:r>
        <w:rPr>
          <w:lang w:eastAsia="ar-SA"/>
        </w:rPr>
        <w:t>W Planie przedstawiono</w:t>
      </w:r>
      <w:r w:rsidRPr="003C44B9">
        <w:rPr>
          <w:lang w:eastAsia="ar-SA"/>
        </w:rPr>
        <w:t xml:space="preserve"> </w:t>
      </w:r>
      <w:r>
        <w:rPr>
          <w:lang w:eastAsia="ar-SA"/>
        </w:rPr>
        <w:t xml:space="preserve">również </w:t>
      </w:r>
      <w:r w:rsidRPr="003C44B9">
        <w:rPr>
          <w:lang w:eastAsia="ar-SA"/>
        </w:rPr>
        <w:t>aspekty organizacyjne i finansowe</w:t>
      </w:r>
      <w:r>
        <w:rPr>
          <w:lang w:eastAsia="ar-SA"/>
        </w:rPr>
        <w:t xml:space="preserve"> realizacji działań</w:t>
      </w:r>
      <w:r w:rsidRPr="003C44B9">
        <w:rPr>
          <w:lang w:eastAsia="ar-SA"/>
        </w:rPr>
        <w:t>, ze wskazaniem źródeł finansowania inwestycji zamieszczonych w harmonogramie rzeczowo-finansowym.</w:t>
      </w:r>
      <w:r>
        <w:rPr>
          <w:lang w:eastAsia="ar-SA"/>
        </w:rPr>
        <w:t xml:space="preserve"> Określono także sposób monitorowania</w:t>
      </w:r>
      <w:r>
        <w:t xml:space="preserve">. </w:t>
      </w:r>
    </w:p>
    <w:p w:rsidR="00FB2534" w:rsidRDefault="00FB2534" w:rsidP="00A51C15">
      <w:pPr>
        <w:pStyle w:val="GOMnagl1"/>
        <w:spacing w:before="240"/>
        <w:ind w:left="357" w:hanging="357"/>
        <w:rPr>
          <w:lang w:eastAsia="ar-SA"/>
        </w:rPr>
      </w:pPr>
      <w:bookmarkStart w:id="70" w:name="_Toc416348863"/>
      <w:bookmarkStart w:id="71" w:name="_Toc422133317"/>
      <w:r>
        <w:rPr>
          <w:lang w:eastAsia="ar-SA"/>
        </w:rPr>
        <w:t>Podstawa opracowania</w:t>
      </w:r>
      <w:bookmarkEnd w:id="70"/>
      <w:bookmarkEnd w:id="71"/>
    </w:p>
    <w:p w:rsidR="00FB2534" w:rsidRDefault="00FB2534" w:rsidP="00EE1860">
      <w:pPr>
        <w:pStyle w:val="GOMnormal"/>
        <w:rPr>
          <w:lang w:eastAsia="ar-SA"/>
        </w:rPr>
      </w:pPr>
      <w:r>
        <w:rPr>
          <w:lang w:eastAsia="ar-SA"/>
        </w:rPr>
        <w:t>Podstawa opracowania omówiona została w rozdziale 2 „Planu gospodarki niskoemisyjnej dla Gdańskiego Obszaru Metropolitalnego”.</w:t>
      </w:r>
    </w:p>
    <w:p w:rsidR="00FB2534" w:rsidRPr="006A49C0" w:rsidRDefault="00FB2534" w:rsidP="00B144BA">
      <w:pPr>
        <w:pStyle w:val="GOMnagl1"/>
        <w:spacing w:before="240"/>
        <w:ind w:left="357" w:hanging="357"/>
      </w:pPr>
      <w:bookmarkStart w:id="72" w:name="_Toc416348864"/>
      <w:bookmarkStart w:id="73" w:name="_Toc422133318"/>
      <w:r>
        <w:t>Struktura dokumentu</w:t>
      </w:r>
      <w:bookmarkEnd w:id="72"/>
      <w:bookmarkEnd w:id="73"/>
    </w:p>
    <w:p w:rsidR="00FB2534" w:rsidRDefault="00FB2534" w:rsidP="00EE1860">
      <w:pPr>
        <w:pStyle w:val="GOMnormal"/>
      </w:pPr>
      <w:r>
        <w:t>Niniejszy dokument jest częścią opracowania Planu gospodarki niskoemisyjnej dla Gdańskiego Obszaru Metropolitalnego. Na całość dokumentacji składają się:</w:t>
      </w:r>
    </w:p>
    <w:p w:rsidR="00FB2534" w:rsidRDefault="00FB2534" w:rsidP="00EE1860">
      <w:pPr>
        <w:pStyle w:val="GOMwypkt"/>
        <w:numPr>
          <w:ilvl w:val="0"/>
          <w:numId w:val="21"/>
        </w:numPr>
      </w:pPr>
      <w:r>
        <w:t>Plan gospodarki niskoemisyjnej dla Gdańskiego Obszaru Metropolitalnego;</w:t>
      </w:r>
    </w:p>
    <w:p w:rsidR="00FB2534" w:rsidRDefault="00FB2534" w:rsidP="00EE1860">
      <w:pPr>
        <w:pStyle w:val="GOMwypkt"/>
        <w:numPr>
          <w:ilvl w:val="0"/>
          <w:numId w:val="21"/>
        </w:numPr>
      </w:pPr>
      <w:r>
        <w:t>Plany gospodarki niskoemisyjnej dla 31 gmin, które przystąpiły do opracowania PGN dla GOM;</w:t>
      </w:r>
    </w:p>
    <w:p w:rsidR="00FB2534" w:rsidRDefault="00FB2534" w:rsidP="00EE1860">
      <w:pPr>
        <w:pStyle w:val="GOMwypkt"/>
        <w:numPr>
          <w:ilvl w:val="0"/>
          <w:numId w:val="21"/>
        </w:numPr>
        <w:spacing w:after="120"/>
      </w:pPr>
      <w:r>
        <w:t>Plan gospodarki niskoemisyjnej dla Związku Zintegrowanych Inwestycji Terytorialnych (ZIT) Obszaru Metropolitalnego.</w:t>
      </w:r>
    </w:p>
    <w:p w:rsidR="00FB2534" w:rsidRDefault="00FB2534" w:rsidP="00EE1860">
      <w:pPr>
        <w:pStyle w:val="GOMnormal"/>
      </w:pPr>
      <w:r>
        <w:t>„Plan gospodarki niskoemisyjnej dla Gdańskiego Obszaru Metropolitalnego” stanowi zasadniczą część ogólną dokumentacji. Zamieszczono w niej informacje dotyczące wszystkich 31 gmin, w zakresie takich rozdziałów jak:</w:t>
      </w:r>
    </w:p>
    <w:p w:rsidR="00FB2534" w:rsidRDefault="00FB2534" w:rsidP="00EE1860">
      <w:pPr>
        <w:pStyle w:val="GOMwypkt"/>
        <w:numPr>
          <w:ilvl w:val="0"/>
          <w:numId w:val="21"/>
        </w:numPr>
      </w:pPr>
      <w:r>
        <w:t>2. Podstawa opracowania</w:t>
      </w:r>
    </w:p>
    <w:p w:rsidR="00FB2534" w:rsidRDefault="00FB2534" w:rsidP="00EE1860">
      <w:pPr>
        <w:pStyle w:val="GOMwypkt"/>
        <w:numPr>
          <w:ilvl w:val="0"/>
          <w:numId w:val="21"/>
        </w:numPr>
      </w:pPr>
      <w:r>
        <w:t xml:space="preserve">4.1. Cele strategiczne i szczegółowe </w:t>
      </w:r>
    </w:p>
    <w:p w:rsidR="00FB2534" w:rsidRDefault="00FB2534" w:rsidP="00EE1860">
      <w:pPr>
        <w:pStyle w:val="GOMwypkt"/>
        <w:numPr>
          <w:ilvl w:val="0"/>
          <w:numId w:val="21"/>
        </w:numPr>
      </w:pPr>
      <w:r>
        <w:t>5.1. Podstawy prawne</w:t>
      </w:r>
    </w:p>
    <w:p w:rsidR="00FB2534" w:rsidRDefault="00FB2534" w:rsidP="00EE1860">
      <w:pPr>
        <w:pStyle w:val="GOMwypkt"/>
        <w:numPr>
          <w:ilvl w:val="0"/>
          <w:numId w:val="21"/>
        </w:numPr>
      </w:pPr>
      <w:r>
        <w:t>5.2. Międzynarodowe dokumenty strategiczne</w:t>
      </w:r>
    </w:p>
    <w:p w:rsidR="00FB2534" w:rsidRDefault="00FB2534" w:rsidP="00EE1860">
      <w:pPr>
        <w:pStyle w:val="GOMwypkt"/>
        <w:numPr>
          <w:ilvl w:val="0"/>
          <w:numId w:val="21"/>
        </w:numPr>
      </w:pPr>
      <w:r>
        <w:t>5.3. Krajowe dokumenty strategiczne</w:t>
      </w:r>
    </w:p>
    <w:p w:rsidR="00FB2534" w:rsidRDefault="00FB2534" w:rsidP="00EE1860">
      <w:pPr>
        <w:pStyle w:val="GOMwypkt"/>
        <w:numPr>
          <w:ilvl w:val="0"/>
          <w:numId w:val="21"/>
        </w:numPr>
      </w:pPr>
      <w:r>
        <w:t>6.1. Charakterystyka obszaru GOM</w:t>
      </w:r>
    </w:p>
    <w:p w:rsidR="00FB2534" w:rsidRDefault="00FB2534" w:rsidP="00EE1860">
      <w:pPr>
        <w:pStyle w:val="GOMwypkt"/>
        <w:numPr>
          <w:ilvl w:val="0"/>
          <w:numId w:val="21"/>
        </w:numPr>
      </w:pPr>
      <w:r>
        <w:t>6.2. Analiza stanu środowiska na terenie GOM</w:t>
      </w:r>
    </w:p>
    <w:p w:rsidR="00FB2534" w:rsidRDefault="00FB2534" w:rsidP="00EE1860">
      <w:pPr>
        <w:pStyle w:val="GOMwypkt"/>
        <w:numPr>
          <w:ilvl w:val="0"/>
          <w:numId w:val="21"/>
        </w:numPr>
      </w:pPr>
      <w:r>
        <w:t>8.1. Metodologia inwentaryzacji dla PGN</w:t>
      </w:r>
    </w:p>
    <w:p w:rsidR="00FB2534" w:rsidRDefault="00FB2534" w:rsidP="00EE1860">
      <w:pPr>
        <w:pStyle w:val="GOMwypkt"/>
        <w:numPr>
          <w:ilvl w:val="0"/>
          <w:numId w:val="21"/>
        </w:numPr>
      </w:pPr>
      <w:r>
        <w:t>9.1. Długoterminowa strategia, cele i zobowiązania</w:t>
      </w:r>
    </w:p>
    <w:p w:rsidR="00FB2534" w:rsidRDefault="00FB2534" w:rsidP="00EE1860">
      <w:pPr>
        <w:pStyle w:val="GOMwypkt"/>
        <w:numPr>
          <w:ilvl w:val="0"/>
          <w:numId w:val="21"/>
        </w:numPr>
      </w:pPr>
      <w:r>
        <w:t>9.6. Źródła finansowania</w:t>
      </w:r>
    </w:p>
    <w:p w:rsidR="00FB2534" w:rsidRDefault="00FB2534" w:rsidP="00EE1860">
      <w:pPr>
        <w:pStyle w:val="GOMwypkt"/>
        <w:numPr>
          <w:ilvl w:val="0"/>
          <w:numId w:val="21"/>
        </w:numPr>
      </w:pPr>
      <w:r>
        <w:t>10. Aspekty organizacyjne</w:t>
      </w:r>
    </w:p>
    <w:p w:rsidR="00FB2534" w:rsidRDefault="00FB2534" w:rsidP="00EE1860">
      <w:pPr>
        <w:pStyle w:val="GOMwypkt"/>
        <w:numPr>
          <w:ilvl w:val="0"/>
          <w:numId w:val="21"/>
        </w:numPr>
      </w:pPr>
      <w:r>
        <w:t>11. System realizacji PGN</w:t>
      </w:r>
    </w:p>
    <w:p w:rsidR="00FB2534" w:rsidRDefault="00FB2534" w:rsidP="00EE1860">
      <w:pPr>
        <w:pStyle w:val="GOMnormal"/>
      </w:pPr>
      <w:r>
        <w:t xml:space="preserve">W częściach szczegółowych (PGN gmin) </w:t>
      </w:r>
      <w:r w:rsidRPr="003C44B9">
        <w:t xml:space="preserve">w szerszym </w:t>
      </w:r>
      <w:r>
        <w:t>stopniu</w:t>
      </w:r>
      <w:r w:rsidRPr="003C44B9">
        <w:t xml:space="preserve"> przedstawiono zagadnienia bezpośrednio związane z poszczególnymi gminami. </w:t>
      </w:r>
    </w:p>
    <w:p w:rsidR="00FB2534" w:rsidRDefault="00FB2534" w:rsidP="00EE1860">
      <w:pPr>
        <w:pStyle w:val="GOMnormal"/>
      </w:pPr>
      <w:r w:rsidRPr="003C44B9">
        <w:t xml:space="preserve">Układ rozdziałów w części ogólnej oraz w częściach szczegółowych jest zasadniczo tożsamy. </w:t>
      </w:r>
    </w:p>
    <w:p w:rsidR="00FB2534" w:rsidRDefault="00FB2534" w:rsidP="00B144BA">
      <w:pPr>
        <w:pStyle w:val="GOMnagl1"/>
        <w:spacing w:before="240"/>
        <w:ind w:left="357" w:hanging="357"/>
      </w:pPr>
      <w:bookmarkStart w:id="74" w:name="_Toc416348865"/>
      <w:bookmarkStart w:id="75" w:name="_Toc422133319"/>
      <w:r>
        <w:t>Ogólna strategia</w:t>
      </w:r>
      <w:bookmarkEnd w:id="74"/>
      <w:bookmarkEnd w:id="75"/>
    </w:p>
    <w:p w:rsidR="00FB2534" w:rsidRDefault="00FB2534" w:rsidP="00EE1860">
      <w:pPr>
        <w:pStyle w:val="GOMnagl2"/>
        <w:ind w:left="720"/>
        <w:rPr>
          <w:lang w:eastAsia="pl-PL"/>
        </w:rPr>
      </w:pPr>
      <w:bookmarkStart w:id="76" w:name="_Toc416348866"/>
      <w:bookmarkStart w:id="77" w:name="_Toc422133320"/>
      <w:r>
        <w:rPr>
          <w:lang w:eastAsia="pl-PL"/>
        </w:rPr>
        <w:t>Cele strategiczne i szczegółowe</w:t>
      </w:r>
      <w:bookmarkEnd w:id="76"/>
      <w:bookmarkEnd w:id="77"/>
    </w:p>
    <w:p w:rsidR="00FB2534" w:rsidRDefault="00FB2534" w:rsidP="00EE1860">
      <w:pPr>
        <w:pStyle w:val="GOMnormal"/>
      </w:pPr>
      <w:r>
        <w:rPr>
          <w:lang w:eastAsia="ar-SA"/>
        </w:rPr>
        <w:t>Cele strategiczne i szczegółowe omówione zostały w rozdziale 4.1 „Planu gospodarki niskoemisyjnej dla Gdańskiego Obszaru Metropolitalnego”.</w:t>
      </w:r>
    </w:p>
    <w:p w:rsidR="00FB2534" w:rsidRPr="006A49C0" w:rsidRDefault="00FB2534" w:rsidP="004747FB">
      <w:pPr>
        <w:pStyle w:val="GOMnagl2"/>
        <w:ind w:left="720"/>
      </w:pPr>
      <w:bookmarkStart w:id="78" w:name="_Toc422133321"/>
      <w:r>
        <w:t>Cele szczegółowe dla Gminy Wiejskiej Malbork</w:t>
      </w:r>
      <w:bookmarkEnd w:id="78"/>
    </w:p>
    <w:p w:rsidR="00FB2534" w:rsidRDefault="00FB2534" w:rsidP="00670A55">
      <w:pPr>
        <w:pStyle w:val="GOMnormal"/>
        <w:rPr>
          <w:lang w:eastAsia="ar-SA"/>
        </w:rPr>
      </w:pPr>
      <w:r>
        <w:rPr>
          <w:lang w:eastAsia="ar-SA"/>
        </w:rPr>
        <w:t xml:space="preserve">Przy precyzowaniu celów w zakresie gospodarki niskoemisyjnej dla </w:t>
      </w:r>
      <w:r w:rsidRPr="00143D48">
        <w:rPr>
          <w:lang w:eastAsia="ar-SA"/>
        </w:rPr>
        <w:t xml:space="preserve">Gminy </w:t>
      </w:r>
      <w:r>
        <w:rPr>
          <w:lang w:eastAsia="ar-SA"/>
        </w:rPr>
        <w:t>Malbork wzięto pod uwagę działania we wszystkich możliwych sektorach, w tym w szczególności, w obszarach przyjętych w projekcie NPRGN tj. w: energetyce, budownictwie, transporcie, rolnictwie i rybactwie, leśnictwie, przemyśle, handlu i usługach, gospodarstwach domowych, odpadach i edukacji.</w:t>
      </w:r>
    </w:p>
    <w:p w:rsidR="00FB2534" w:rsidRDefault="00FB2534" w:rsidP="00670A55">
      <w:pPr>
        <w:pStyle w:val="GOMnormal"/>
        <w:rPr>
          <w:lang w:eastAsia="ar-SA"/>
        </w:rPr>
      </w:pPr>
      <w:r w:rsidRPr="00311E10">
        <w:rPr>
          <w:lang w:eastAsia="ar-SA"/>
        </w:rPr>
        <w:t xml:space="preserve">Na podstawie analiz planowanych i możliwych </w:t>
      </w:r>
      <w:r>
        <w:rPr>
          <w:lang w:eastAsia="ar-SA"/>
        </w:rPr>
        <w:t xml:space="preserve">do realizacji </w:t>
      </w:r>
      <w:r w:rsidRPr="00311E10">
        <w:rPr>
          <w:lang w:eastAsia="ar-SA"/>
        </w:rPr>
        <w:t>przedsięwzięć</w:t>
      </w:r>
      <w:r>
        <w:rPr>
          <w:lang w:eastAsia="ar-SA"/>
        </w:rPr>
        <w:t xml:space="preserve"> w ramach PGN</w:t>
      </w:r>
      <w:r w:rsidRPr="00311E10">
        <w:rPr>
          <w:lang w:eastAsia="ar-SA"/>
        </w:rPr>
        <w:t>, jak też biorąc pod uwagę cele dokumentów strategicznych</w:t>
      </w:r>
      <w:r>
        <w:rPr>
          <w:lang w:eastAsia="ar-SA"/>
        </w:rPr>
        <w:t>,</w:t>
      </w:r>
      <w:r w:rsidRPr="00311E10">
        <w:rPr>
          <w:lang w:eastAsia="ar-SA"/>
        </w:rPr>
        <w:t xml:space="preserve"> proponuje się przyj</w:t>
      </w:r>
      <w:r>
        <w:rPr>
          <w:lang w:eastAsia="ar-SA"/>
        </w:rPr>
        <w:t>ę</w:t>
      </w:r>
      <w:r w:rsidRPr="00311E10">
        <w:rPr>
          <w:lang w:eastAsia="ar-SA"/>
        </w:rPr>
        <w:t>cie następujących celów szczegółowych, które będą podstawą sprecyzowania działań realizujących te cele.</w:t>
      </w:r>
    </w:p>
    <w:p w:rsidR="00FB2534" w:rsidRPr="00EE1860" w:rsidRDefault="00FB2534" w:rsidP="00E62C4D">
      <w:pPr>
        <w:pStyle w:val="ListParagraph"/>
        <w:numPr>
          <w:ilvl w:val="0"/>
          <w:numId w:val="26"/>
        </w:numPr>
        <w:spacing w:after="200" w:line="276" w:lineRule="auto"/>
        <w:jc w:val="both"/>
        <w:rPr>
          <w:b/>
          <w:sz w:val="20"/>
          <w:szCs w:val="20"/>
        </w:rPr>
      </w:pPr>
      <w:r w:rsidRPr="00EE1860">
        <w:rPr>
          <w:b/>
          <w:sz w:val="20"/>
          <w:szCs w:val="20"/>
        </w:rPr>
        <w:t>W zakresie energetyki:</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rozwój i modernizacja sieci gazowych,</w:t>
      </w:r>
    </w:p>
    <w:p w:rsidR="00FB2534" w:rsidRPr="00B144BA" w:rsidRDefault="00FB2534" w:rsidP="00B144BA">
      <w:pPr>
        <w:pStyle w:val="ListParagraph"/>
        <w:numPr>
          <w:ilvl w:val="1"/>
          <w:numId w:val="26"/>
        </w:numPr>
        <w:spacing w:after="200" w:line="276" w:lineRule="auto"/>
        <w:jc w:val="both"/>
        <w:rPr>
          <w:sz w:val="20"/>
          <w:szCs w:val="20"/>
        </w:rPr>
      </w:pPr>
      <w:r w:rsidRPr="00EE1860">
        <w:rPr>
          <w:sz w:val="20"/>
          <w:szCs w:val="20"/>
        </w:rPr>
        <w:t>wykorzystanie odnawialnych źródeł energii,</w:t>
      </w:r>
    </w:p>
    <w:p w:rsidR="00FB2534" w:rsidRPr="00EE1860" w:rsidRDefault="00FB2534" w:rsidP="00E62C4D">
      <w:pPr>
        <w:pStyle w:val="ListParagraph"/>
        <w:numPr>
          <w:ilvl w:val="0"/>
          <w:numId w:val="26"/>
        </w:numPr>
        <w:spacing w:after="200" w:line="276" w:lineRule="auto"/>
        <w:jc w:val="both"/>
        <w:rPr>
          <w:b/>
          <w:sz w:val="20"/>
          <w:szCs w:val="20"/>
        </w:rPr>
      </w:pPr>
      <w:r w:rsidRPr="00EE1860">
        <w:rPr>
          <w:b/>
          <w:sz w:val="20"/>
          <w:szCs w:val="20"/>
        </w:rPr>
        <w:t>W zakresie budownictwa (w tym gospodarstw domowych, budynków administracji publicznej itp.):</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realizacja nowych budynków i obiektów budowlanych zaprojektowanych zgodnie z zasadami ekoprojektowania (minimalizacji zapotrzebowania na energię) i wykorzystania energii odnawialnej,</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przeprowadzanie remontów i rewitalizacji starych obiektów z uwzględnianiem zasad ekoprojektowania (minimalizacji zapotrzebowania na energię) i wykorzystania energii odnawialnej,</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uwzględnianie w warunkach specyfikacji zamówień publicznych wymagań odnośnie budowy obiektów i budynków niskoemisyjnych,</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ograniczenie emisji gazów cieplarniach oraz innych zanieczyszczeń powietrza poprzez zastępowanie indywidualnych źródeł energii przez instalacje niskoemisyjne i  wysokosprawne oraz ewentualne wpięcie się w sieć miejską Malborka,</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termomodernizacja budynków z uwzględnieniem modernizacji systemów ogrzewania,</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modernizacja systemów oświetlenia i wymiana żarówek na energooszczędne w ramach konserwacji.</w:t>
      </w:r>
    </w:p>
    <w:p w:rsidR="00FB2534" w:rsidRPr="00EE1860" w:rsidRDefault="00FB2534" w:rsidP="00E62C4D">
      <w:pPr>
        <w:pStyle w:val="ListParagraph"/>
        <w:numPr>
          <w:ilvl w:val="0"/>
          <w:numId w:val="26"/>
        </w:numPr>
        <w:spacing w:after="200" w:line="276" w:lineRule="auto"/>
        <w:jc w:val="both"/>
        <w:rPr>
          <w:b/>
          <w:sz w:val="20"/>
          <w:szCs w:val="20"/>
        </w:rPr>
      </w:pPr>
      <w:r w:rsidRPr="00EE1860">
        <w:rPr>
          <w:b/>
          <w:sz w:val="20"/>
          <w:szCs w:val="20"/>
        </w:rPr>
        <w:t>W zakresie transportu:</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modernizacja dróg gminnych,</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promocja systemów komunikacji publicznej,</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rozwój i promocja alternatywnych środków transportu (pieszego, rowerowego),</w:t>
      </w:r>
    </w:p>
    <w:p w:rsidR="00FB2534" w:rsidRPr="00EE1860" w:rsidRDefault="00FB2534" w:rsidP="00E62C4D">
      <w:pPr>
        <w:pStyle w:val="ListParagraph"/>
        <w:numPr>
          <w:ilvl w:val="1"/>
          <w:numId w:val="26"/>
        </w:numPr>
        <w:spacing w:after="200" w:line="276" w:lineRule="auto"/>
        <w:jc w:val="both"/>
        <w:rPr>
          <w:sz w:val="20"/>
          <w:szCs w:val="20"/>
        </w:rPr>
      </w:pPr>
      <w:r w:rsidRPr="00EE1860">
        <w:rPr>
          <w:sz w:val="20"/>
          <w:szCs w:val="20"/>
        </w:rPr>
        <w:t>modernizacja systemów oświetlenia ulic.</w:t>
      </w:r>
    </w:p>
    <w:p w:rsidR="00FB2534" w:rsidRPr="00EE1860" w:rsidRDefault="00FB2534" w:rsidP="00E62C4D">
      <w:pPr>
        <w:pStyle w:val="ListParagraph"/>
        <w:numPr>
          <w:ilvl w:val="0"/>
          <w:numId w:val="26"/>
        </w:numPr>
        <w:spacing w:after="200" w:line="276" w:lineRule="auto"/>
        <w:jc w:val="both"/>
        <w:rPr>
          <w:b/>
          <w:sz w:val="20"/>
          <w:szCs w:val="20"/>
        </w:rPr>
      </w:pPr>
      <w:r w:rsidRPr="00EE1860">
        <w:rPr>
          <w:b/>
          <w:sz w:val="20"/>
          <w:szCs w:val="20"/>
        </w:rPr>
        <w:t>W zakresie edukacji:</w:t>
      </w:r>
    </w:p>
    <w:p w:rsidR="00FB2534" w:rsidRPr="00EE1860" w:rsidRDefault="00FB2534" w:rsidP="00E62C4D">
      <w:pPr>
        <w:pStyle w:val="ListParagraph"/>
        <w:numPr>
          <w:ilvl w:val="1"/>
          <w:numId w:val="26"/>
        </w:numPr>
        <w:spacing w:line="276" w:lineRule="auto"/>
        <w:jc w:val="both"/>
        <w:rPr>
          <w:sz w:val="20"/>
          <w:szCs w:val="20"/>
        </w:rPr>
      </w:pPr>
      <w:r w:rsidRPr="00EE1860">
        <w:rPr>
          <w:sz w:val="20"/>
          <w:szCs w:val="20"/>
        </w:rPr>
        <w:t>edukacja ekologiczna społeczeństwa w kierunku zrównoważonych wzorów konsumpcji oraz wykorzystania odnawialnych źródeł energii</w:t>
      </w:r>
      <w:r>
        <w:rPr>
          <w:sz w:val="20"/>
          <w:szCs w:val="20"/>
        </w:rPr>
        <w:t>.</w:t>
      </w:r>
    </w:p>
    <w:p w:rsidR="00FB2534" w:rsidRDefault="00FB2534" w:rsidP="00A51C15">
      <w:pPr>
        <w:pStyle w:val="GOMnormal"/>
      </w:pPr>
      <w:r>
        <w:rPr>
          <w:lang w:eastAsia="ar-SA"/>
        </w:rPr>
        <w:t>Dla osiągnięcia wskazanych celów założono realizację konkretnych działań. Działania te wraz z planowanymi efektami w postaci redukcji emisji CO</w:t>
      </w:r>
      <w:r w:rsidRPr="00EE1860">
        <w:rPr>
          <w:vertAlign w:val="subscript"/>
          <w:lang w:eastAsia="ar-SA"/>
        </w:rPr>
        <w:t>2</w:t>
      </w:r>
      <w:r>
        <w:rPr>
          <w:lang w:eastAsia="ar-SA"/>
        </w:rPr>
        <w:t xml:space="preserve"> oraz redukcji zużycia energii finalnej i zwiększenia udziału energii pochodzącej ze źródeł odnawialnych przedstawiono i zwymiarowano w harmonogramie rzeczowo-finansowym.</w:t>
      </w:r>
    </w:p>
    <w:p w:rsidR="00FB2534" w:rsidRPr="006A49C0" w:rsidRDefault="00FB2534" w:rsidP="00A51C15">
      <w:pPr>
        <w:pStyle w:val="GOMnagl1"/>
        <w:spacing w:before="240"/>
        <w:ind w:left="357" w:hanging="357"/>
      </w:pPr>
      <w:bookmarkStart w:id="79" w:name="_Toc412201385"/>
      <w:bookmarkStart w:id="80" w:name="_Toc422133322"/>
      <w:r w:rsidRPr="00B53AF7">
        <w:t xml:space="preserve">Analiza </w:t>
      </w:r>
      <w:r>
        <w:t>uwarunkowań prawnych i wynikających z </w:t>
      </w:r>
      <w:r w:rsidRPr="00B53AF7">
        <w:t>dokumentów strategicznych</w:t>
      </w:r>
      <w:bookmarkEnd w:id="79"/>
      <w:bookmarkEnd w:id="80"/>
    </w:p>
    <w:p w:rsidR="00FB2534" w:rsidRDefault="00FB2534" w:rsidP="00EE1860">
      <w:pPr>
        <w:pStyle w:val="GOMnagl2"/>
        <w:ind w:left="720"/>
      </w:pPr>
      <w:bookmarkStart w:id="81" w:name="_Toc416348869"/>
      <w:bookmarkStart w:id="82" w:name="_Toc422133323"/>
      <w:bookmarkStart w:id="83" w:name="_Toc412201386"/>
      <w:r>
        <w:t>Podstawy prawne</w:t>
      </w:r>
      <w:bookmarkEnd w:id="81"/>
      <w:bookmarkEnd w:id="82"/>
    </w:p>
    <w:p w:rsidR="00FB2534" w:rsidRDefault="00FB2534" w:rsidP="00EE1860">
      <w:pPr>
        <w:pStyle w:val="GOMnormal"/>
      </w:pPr>
      <w:r w:rsidRPr="00790B42">
        <w:rPr>
          <w:lang w:eastAsia="ar-SA"/>
        </w:rPr>
        <w:t xml:space="preserve">Analiza </w:t>
      </w:r>
      <w:r>
        <w:rPr>
          <w:lang w:eastAsia="ar-SA"/>
        </w:rPr>
        <w:t>podstaw prawnych</w:t>
      </w:r>
      <w:r w:rsidRPr="00790B42">
        <w:rPr>
          <w:lang w:eastAsia="ar-SA"/>
        </w:rPr>
        <w:t xml:space="preserve"> </w:t>
      </w:r>
      <w:r>
        <w:rPr>
          <w:lang w:eastAsia="ar-SA"/>
        </w:rPr>
        <w:t>znajduje się w rozdziale 5.1 „Planu gospodarki niskoemisyjnej dla Gdańskiego Obszaru Metropolitalnego”.</w:t>
      </w:r>
    </w:p>
    <w:p w:rsidR="00FB2534" w:rsidRDefault="00FB2534" w:rsidP="00EE1860">
      <w:pPr>
        <w:pStyle w:val="GOMnagl2"/>
        <w:ind w:left="720"/>
      </w:pPr>
      <w:bookmarkStart w:id="84" w:name="_Toc416348870"/>
      <w:bookmarkStart w:id="85" w:name="_Toc422133324"/>
      <w:r>
        <w:t>Międzynarodowe dokumenty strategiczne</w:t>
      </w:r>
      <w:bookmarkEnd w:id="83"/>
      <w:bookmarkEnd w:id="84"/>
      <w:bookmarkEnd w:id="85"/>
    </w:p>
    <w:p w:rsidR="00FB2534" w:rsidRDefault="00FB2534" w:rsidP="00EE1860">
      <w:pPr>
        <w:pStyle w:val="GOMnormal"/>
      </w:pPr>
      <w:r w:rsidRPr="00790B42">
        <w:rPr>
          <w:lang w:eastAsia="ar-SA"/>
        </w:rPr>
        <w:t xml:space="preserve">Analiza uwarunkowań wynikających z międzynarodowych dokumentów strategicznych </w:t>
      </w:r>
      <w:r>
        <w:rPr>
          <w:lang w:eastAsia="ar-SA"/>
        </w:rPr>
        <w:t>znajduje się w rozdziale 5.2 „Planu gospodarki niskoemisyjnej dla Gdańskiego Obszaru Metropolitalnego”.</w:t>
      </w:r>
    </w:p>
    <w:p w:rsidR="00FB2534" w:rsidRDefault="00FB2534" w:rsidP="00EE1860">
      <w:pPr>
        <w:pStyle w:val="GOMnagl2"/>
        <w:ind w:left="720"/>
      </w:pPr>
      <w:bookmarkStart w:id="86" w:name="_Toc412201387"/>
      <w:bookmarkStart w:id="87" w:name="_Toc416348871"/>
      <w:bookmarkStart w:id="88" w:name="_Toc422133325"/>
      <w:r>
        <w:t>Krajowe dokumenty strategiczne</w:t>
      </w:r>
      <w:bookmarkEnd w:id="86"/>
      <w:bookmarkEnd w:id="87"/>
      <w:bookmarkEnd w:id="88"/>
    </w:p>
    <w:p w:rsidR="00FB2534" w:rsidRDefault="00FB2534" w:rsidP="00790B42">
      <w:pPr>
        <w:pStyle w:val="GOMnormal"/>
      </w:pPr>
      <w:r w:rsidRPr="00790B42">
        <w:rPr>
          <w:lang w:eastAsia="ar-SA"/>
        </w:rPr>
        <w:t xml:space="preserve">Analiza uwarunkowań wynikających z </w:t>
      </w:r>
      <w:r>
        <w:rPr>
          <w:lang w:eastAsia="ar-SA"/>
        </w:rPr>
        <w:t>krajowych</w:t>
      </w:r>
      <w:r w:rsidRPr="00790B42">
        <w:rPr>
          <w:lang w:eastAsia="ar-SA"/>
        </w:rPr>
        <w:t xml:space="preserve"> dokumentów strategicznych </w:t>
      </w:r>
      <w:r>
        <w:rPr>
          <w:lang w:eastAsia="ar-SA"/>
        </w:rPr>
        <w:t>znajduje się w rozdziale 5.3 „Planu gospodarki niskoemisyjnej dla Gdańskiego Obszaru Metropolitalnego”.</w:t>
      </w:r>
    </w:p>
    <w:p w:rsidR="00FB2534" w:rsidRPr="00A73046" w:rsidRDefault="00FB2534" w:rsidP="00790B42">
      <w:pPr>
        <w:pStyle w:val="GOMnagl2"/>
        <w:ind w:left="720"/>
      </w:pPr>
      <w:bookmarkStart w:id="89" w:name="_Toc422133326"/>
      <w:r>
        <w:t>Dokumenty strategiczne</w:t>
      </w:r>
      <w:r w:rsidRPr="00A73046">
        <w:t xml:space="preserve"> na </w:t>
      </w:r>
      <w:r>
        <w:t>poziomie</w:t>
      </w:r>
      <w:r w:rsidRPr="00A73046">
        <w:t xml:space="preserve"> gmin</w:t>
      </w:r>
      <w:r>
        <w:t>y – analiza i ocena zgodności celów</w:t>
      </w:r>
      <w:bookmarkEnd w:id="89"/>
    </w:p>
    <w:p w:rsidR="00FB2534" w:rsidRPr="00A76F79" w:rsidRDefault="00FB2534" w:rsidP="00BE55E5">
      <w:pPr>
        <w:pStyle w:val="GOMnormal"/>
        <w:rPr>
          <w:lang w:eastAsia="en-US"/>
        </w:rPr>
      </w:pPr>
      <w:r w:rsidRPr="00A76F79">
        <w:rPr>
          <w:lang w:eastAsia="en-US"/>
        </w:rPr>
        <w:t xml:space="preserve">W „Planie Gospodarki Niskoemisyjnej dla Gdańskiego Obszaru Metropolitalnego”, w rozdziale 5 przeanalizowano związane z Planem dokumenty strategiczne na poziomie międzynarodowym, Unii Europejskiej, Polski, Województwa i GOM. Przedstawiono tam główne cele wyszczególnione w tych dokumentach i przyjęte kierunki działań oraz wynikające z nich obowiązki. Na podstawie analiz stwierdzono zgodność celów PGN opracowanego dla GOM z celami </w:t>
      </w:r>
      <w:r>
        <w:rPr>
          <w:lang w:eastAsia="en-US"/>
        </w:rPr>
        <w:t>tych dokumentów oraz spójność z </w:t>
      </w:r>
      <w:r w:rsidRPr="00A76F79">
        <w:rPr>
          <w:lang w:eastAsia="en-US"/>
        </w:rPr>
        <w:t>kierunkami działań adekwatnymi do działań w planie, a w szczególno</w:t>
      </w:r>
      <w:r>
        <w:rPr>
          <w:lang w:eastAsia="en-US"/>
        </w:rPr>
        <w:t>ści w zakresie: transformacji w </w:t>
      </w:r>
      <w:r w:rsidRPr="00A76F79">
        <w:rPr>
          <w:lang w:eastAsia="en-US"/>
        </w:rPr>
        <w:t>kierunku gospodarki niskoemisyjnej, podniesienia efektywności energetycznej, wykorzystania odnawialnych źródeł energii i ochrony środowiska, w tym w zakresie poprawy jakości powietrza.</w:t>
      </w:r>
    </w:p>
    <w:p w:rsidR="00FB2534" w:rsidRPr="00A76F79" w:rsidRDefault="00FB2534" w:rsidP="00BE55E5">
      <w:pPr>
        <w:pStyle w:val="GOMnormal"/>
        <w:rPr>
          <w:lang w:eastAsia="en-US"/>
        </w:rPr>
      </w:pPr>
      <w:r w:rsidRPr="00A76F79">
        <w:rPr>
          <w:lang w:eastAsia="en-US"/>
        </w:rPr>
        <w:t xml:space="preserve">W ramach prac nad PGN dla gminy przeprowadzono także analizy dokumentów strategicznych gminy, na podstawie których można stwierdzić również zgodność celów PGN z celami przedmiotowych dokumentów i przyjętymi w nich kierunkami działań. Niemniej jednak należy zwrócić uwagę, że nie wszystkie cele dokumentów strategicznych na poziomie ponadgminnym znajdują swoje odzwierciedlenie w celach dokumentów gminy, gdyż mają one charakter dużo szerszy niż zagadnienia związane z PGN i dotyczą znacznie większego obszaru aniżeli poszczególne gminy. </w:t>
      </w:r>
    </w:p>
    <w:p w:rsidR="00FB2534" w:rsidRPr="00F64A5A" w:rsidRDefault="00FB2534" w:rsidP="00BE55E5">
      <w:pPr>
        <w:pStyle w:val="GOMnormal"/>
        <w:rPr>
          <w:lang w:eastAsia="en-US"/>
        </w:rPr>
      </w:pPr>
      <w:r w:rsidRPr="00A76F79">
        <w:rPr>
          <w:lang w:eastAsia="en-US"/>
        </w:rPr>
        <w:t xml:space="preserve">W ramach prac nad PGN przeanalizowano i poddano ocenie niżej wymienione dokumenty na poziomie gminy. W dalszej części przedstawiono wyszczególnione w nich kierunki działań wynikające z przyjętych celów, spójnych z PGN, które uwzględniono przy formułowaniu celów, </w:t>
      </w:r>
      <w:r w:rsidRPr="00A76F79">
        <w:rPr>
          <w:lang w:eastAsia="ar-SA"/>
        </w:rPr>
        <w:t xml:space="preserve">będących podstawą sprecyzowania </w:t>
      </w:r>
      <w:r w:rsidRPr="00A76F79">
        <w:rPr>
          <w:lang w:eastAsia="en-US"/>
        </w:rPr>
        <w:t>działań proponowanych w ramach PGN. Na tej podstawie można stwi</w:t>
      </w:r>
      <w:r>
        <w:rPr>
          <w:lang w:eastAsia="en-US"/>
        </w:rPr>
        <w:t>erdzić zgodność proponowanych w </w:t>
      </w:r>
      <w:r w:rsidRPr="00A76F79">
        <w:rPr>
          <w:lang w:eastAsia="en-US"/>
        </w:rPr>
        <w:t>PGN działań z celami dokumentów strategicznych gminy.</w:t>
      </w:r>
      <w:r>
        <w:rPr>
          <w:lang w:eastAsia="en-US"/>
        </w:rPr>
        <w:t xml:space="preserve"> </w:t>
      </w:r>
      <w:r w:rsidRPr="00AB223E">
        <w:rPr>
          <w:sz w:val="22"/>
          <w:szCs w:val="22"/>
          <w:lang w:eastAsia="en-US"/>
        </w:rPr>
        <w:t xml:space="preserve"> </w:t>
      </w:r>
    </w:p>
    <w:p w:rsidR="00FB2534" w:rsidRPr="00AB223E" w:rsidRDefault="00FB2534" w:rsidP="00C86618">
      <w:pPr>
        <w:pStyle w:val="GOMnormal"/>
        <w:rPr>
          <w:lang w:eastAsia="en-US"/>
        </w:rPr>
      </w:pPr>
      <w:r w:rsidRPr="00AB223E">
        <w:rPr>
          <w:lang w:eastAsia="en-US"/>
        </w:rPr>
        <w:t>Najważniejsze dokumenty dotyczące rozwoju gminy:</w:t>
      </w:r>
    </w:p>
    <w:p w:rsidR="00FB2534" w:rsidRPr="00C3368B" w:rsidRDefault="00FB2534" w:rsidP="00407562">
      <w:pPr>
        <w:pStyle w:val="GOMwypkt"/>
        <w:numPr>
          <w:ilvl w:val="0"/>
          <w:numId w:val="21"/>
        </w:numPr>
        <w:ind w:left="568" w:hanging="284"/>
        <w:rPr>
          <w:lang w:eastAsia="en-US"/>
        </w:rPr>
      </w:pPr>
      <w:r w:rsidRPr="00C3368B">
        <w:rPr>
          <w:lang w:eastAsia="en-US"/>
        </w:rPr>
        <w:t>Strategia Rozwoju Gminy Malbork do 2020 r.</w:t>
      </w:r>
      <w:r>
        <w:rPr>
          <w:lang w:eastAsia="en-US"/>
        </w:rPr>
        <w:t xml:space="preserve"> </w:t>
      </w:r>
      <w:r w:rsidRPr="00C3368B">
        <w:rPr>
          <w:lang w:eastAsia="en-US"/>
        </w:rPr>
        <w:t>(</w:t>
      </w:r>
      <w:r>
        <w:rPr>
          <w:lang w:eastAsia="en-US"/>
        </w:rPr>
        <w:t>U</w:t>
      </w:r>
      <w:r w:rsidRPr="00C3368B">
        <w:rPr>
          <w:lang w:eastAsia="en-US"/>
        </w:rPr>
        <w:t xml:space="preserve">chwała Rady Gminy nr </w:t>
      </w:r>
      <w:r w:rsidRPr="00C3368B">
        <w:t xml:space="preserve"> XXXIX/364/2014 z dnia 28.08.2014 r.)</w:t>
      </w:r>
      <w:r>
        <w:t>,</w:t>
      </w:r>
    </w:p>
    <w:p w:rsidR="00FB2534" w:rsidRPr="00C3368B" w:rsidRDefault="00FB2534" w:rsidP="00407562">
      <w:pPr>
        <w:pStyle w:val="GOMwypkt"/>
        <w:numPr>
          <w:ilvl w:val="0"/>
          <w:numId w:val="21"/>
        </w:numPr>
        <w:ind w:left="568" w:hanging="284"/>
        <w:rPr>
          <w:lang w:eastAsia="en-US"/>
        </w:rPr>
      </w:pPr>
      <w:r w:rsidRPr="00C3368B">
        <w:rPr>
          <w:lang w:eastAsia="en-US"/>
        </w:rPr>
        <w:t xml:space="preserve">Program Ochrony Środowiska wraz z Planem Gospodarki Odpadami dla gminy Malbork do roku 2011 z perspektywą na lata 2012-2015 </w:t>
      </w:r>
      <w:r>
        <w:rPr>
          <w:lang w:eastAsia="en-US"/>
        </w:rPr>
        <w:t>(Uchwała N</w:t>
      </w:r>
      <w:r w:rsidRPr="00C3368B">
        <w:rPr>
          <w:lang w:eastAsia="en-US"/>
        </w:rPr>
        <w:t>r VIII/71/2011 z dn. 22.06.2011 r., zmieniona uchwałą nr IX/78/2011 z dn. 29.08.2011 r.)</w:t>
      </w:r>
      <w:r>
        <w:rPr>
          <w:lang w:eastAsia="en-US"/>
        </w:rPr>
        <w:t>,</w:t>
      </w:r>
    </w:p>
    <w:p w:rsidR="00FB2534" w:rsidRPr="00C3368B" w:rsidRDefault="00FB2534" w:rsidP="00407562">
      <w:pPr>
        <w:pStyle w:val="GOMwypkt"/>
        <w:numPr>
          <w:ilvl w:val="0"/>
          <w:numId w:val="21"/>
        </w:numPr>
        <w:ind w:left="568" w:hanging="284"/>
        <w:rPr>
          <w:lang w:eastAsia="en-US"/>
        </w:rPr>
      </w:pPr>
      <w:r>
        <w:rPr>
          <w:lang w:eastAsia="en-US"/>
        </w:rPr>
        <w:t>Studium Uwarunkowań i Kierunków Zagospodarowania Przestrzennego gminy Malbork (Uchwała N</w:t>
      </w:r>
      <w:r w:rsidRPr="00C3368B">
        <w:rPr>
          <w:lang w:eastAsia="en-US"/>
        </w:rPr>
        <w:t>r XXXIII/309/2013 Rady Gminy Mal</w:t>
      </w:r>
      <w:r>
        <w:rPr>
          <w:lang w:eastAsia="en-US"/>
        </w:rPr>
        <w:t>bork z dnia 30 grudnia 2013 r.),</w:t>
      </w:r>
    </w:p>
    <w:p w:rsidR="00FB2534" w:rsidRPr="00E51059" w:rsidRDefault="00FB2534" w:rsidP="00407562">
      <w:pPr>
        <w:pStyle w:val="GOMwypkt"/>
        <w:numPr>
          <w:ilvl w:val="0"/>
          <w:numId w:val="21"/>
        </w:numPr>
        <w:ind w:left="568" w:hanging="284"/>
        <w:rPr>
          <w:lang w:eastAsia="en-US"/>
        </w:rPr>
      </w:pPr>
      <w:r w:rsidRPr="00E51059">
        <w:rPr>
          <w:lang w:eastAsia="en-US"/>
        </w:rPr>
        <w:t>Projekt założeń do planu zaopatrzenia w ciepło energ</w:t>
      </w:r>
      <w:r>
        <w:rPr>
          <w:lang w:eastAsia="en-US"/>
        </w:rPr>
        <w:t>ię elektryczną i paliwa gazowe,</w:t>
      </w:r>
    </w:p>
    <w:p w:rsidR="00FB2534" w:rsidRDefault="00FB2534" w:rsidP="00407562">
      <w:pPr>
        <w:pStyle w:val="GOMwypkt"/>
        <w:numPr>
          <w:ilvl w:val="0"/>
          <w:numId w:val="21"/>
        </w:numPr>
        <w:ind w:left="568" w:hanging="284"/>
        <w:rPr>
          <w:lang w:eastAsia="en-US"/>
        </w:rPr>
      </w:pPr>
      <w:r>
        <w:rPr>
          <w:lang w:eastAsia="en-US"/>
        </w:rPr>
        <w:t>Budżet Gminy Malbork (Uchwała N</w:t>
      </w:r>
      <w:r w:rsidRPr="00C3368B">
        <w:rPr>
          <w:lang w:eastAsia="en-US"/>
        </w:rPr>
        <w:t>r III/11/2014 Rady Gminy Malbork z dnia 30 grudnia</w:t>
      </w:r>
      <w:r>
        <w:rPr>
          <w:lang w:eastAsia="en-US"/>
        </w:rPr>
        <w:t xml:space="preserve"> 2014 r.).</w:t>
      </w:r>
    </w:p>
    <w:p w:rsidR="00FB2534" w:rsidRPr="00AB223E" w:rsidRDefault="00FB2534" w:rsidP="00C86618">
      <w:pPr>
        <w:pStyle w:val="GOMnormal"/>
        <w:rPr>
          <w:lang w:eastAsia="en-US"/>
        </w:rPr>
      </w:pPr>
      <w:r w:rsidRPr="00AB223E">
        <w:rPr>
          <w:lang w:eastAsia="en-US"/>
        </w:rPr>
        <w:t>Główne kierunki rozwoju wynikające z analizowanych dokumentów:</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energetyka </w:t>
      </w:r>
    </w:p>
    <w:p w:rsidR="00FB2534" w:rsidRPr="00C86618" w:rsidRDefault="00FB2534" w:rsidP="00C53C9A">
      <w:pPr>
        <w:numPr>
          <w:ilvl w:val="0"/>
          <w:numId w:val="35"/>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gazyfikacja miejscowości o największej potencjalnej liczbie odbiorców, </w:t>
      </w:r>
    </w:p>
    <w:p w:rsidR="00FB2534" w:rsidRPr="00C86618" w:rsidRDefault="00FB2534" w:rsidP="00C53C9A">
      <w:pPr>
        <w:numPr>
          <w:ilvl w:val="0"/>
          <w:numId w:val="35"/>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sukcesywna likwidacja źródeł ciepła opartych o paliwo stałe na rzecz paliw gazowych i</w:t>
      </w:r>
      <w:r>
        <w:rPr>
          <w:rFonts w:ascii="Calibri" w:hAnsi="Calibri"/>
          <w:sz w:val="20"/>
          <w:szCs w:val="20"/>
          <w:lang w:eastAsia="en-US"/>
        </w:rPr>
        <w:t> </w:t>
      </w:r>
      <w:r w:rsidRPr="00C86618">
        <w:rPr>
          <w:rFonts w:ascii="Calibri" w:hAnsi="Calibri"/>
          <w:sz w:val="20"/>
          <w:szCs w:val="20"/>
          <w:lang w:eastAsia="en-US"/>
        </w:rPr>
        <w:t>płynnych,</w:t>
      </w:r>
    </w:p>
    <w:p w:rsidR="00FB2534" w:rsidRPr="00C86618" w:rsidRDefault="00FB2534" w:rsidP="00C53C9A">
      <w:pPr>
        <w:numPr>
          <w:ilvl w:val="0"/>
          <w:numId w:val="35"/>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rozwój energetyki z odnawialnych źródeł energii – budowa zespołów siłowni wiatrowych (tereny wsi Stogi i Czerwone Stogi w gminie Malbork),</w:t>
      </w:r>
    </w:p>
    <w:p w:rsidR="00FB2534" w:rsidRPr="00C86618" w:rsidRDefault="00FB2534" w:rsidP="00C53C9A">
      <w:pPr>
        <w:numPr>
          <w:ilvl w:val="0"/>
          <w:numId w:val="35"/>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budowa nowych odcinków linii niskiego i średniego napięcia oraz modernizacja istniejących już odcinków,</w:t>
      </w:r>
    </w:p>
    <w:p w:rsidR="00FB2534" w:rsidRPr="00C86618" w:rsidRDefault="00FB2534" w:rsidP="00C53C9A">
      <w:pPr>
        <w:numPr>
          <w:ilvl w:val="0"/>
          <w:numId w:val="35"/>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ochrona mieszkańców przed wpływem pola elektromagnetycznego,</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budownictwo </w:t>
      </w:r>
    </w:p>
    <w:p w:rsidR="00FB2534" w:rsidRPr="00C86618" w:rsidRDefault="00FB2534" w:rsidP="00C53C9A">
      <w:pPr>
        <w:numPr>
          <w:ilvl w:val="0"/>
          <w:numId w:val="34"/>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przygotowanie i promowanie zagospodarowania terenów aktywizujących gminę, tj</w:t>
      </w:r>
      <w:r>
        <w:rPr>
          <w:rFonts w:ascii="Calibri" w:hAnsi="Calibri"/>
          <w:sz w:val="20"/>
          <w:szCs w:val="20"/>
          <w:lang w:eastAsia="en-US"/>
        </w:rPr>
        <w:t>.: zespół usługowo-mieszkalny (</w:t>
      </w:r>
      <w:r w:rsidRPr="00C86618">
        <w:rPr>
          <w:rFonts w:ascii="Calibri" w:hAnsi="Calibri"/>
          <w:sz w:val="20"/>
          <w:szCs w:val="20"/>
          <w:lang w:eastAsia="en-US"/>
        </w:rPr>
        <w:t xml:space="preserve">ok. </w:t>
      </w:r>
      <w:smartTag w:uri="urn:schemas-microsoft-com:office:smarttags" w:element="metricconverter">
        <w:smartTagPr>
          <w:attr w:name="ProductID" w:val="30 ha"/>
        </w:smartTagPr>
        <w:r w:rsidRPr="00C86618">
          <w:rPr>
            <w:rFonts w:ascii="Calibri" w:hAnsi="Calibri"/>
            <w:sz w:val="20"/>
            <w:szCs w:val="20"/>
            <w:lang w:eastAsia="en-US"/>
          </w:rPr>
          <w:t>30 ha</w:t>
        </w:r>
      </w:smartTag>
      <w:r w:rsidRPr="00C86618">
        <w:rPr>
          <w:rFonts w:ascii="Calibri" w:hAnsi="Calibri"/>
          <w:sz w:val="20"/>
          <w:szCs w:val="20"/>
          <w:lang w:eastAsia="en-US"/>
        </w:rPr>
        <w:t>), zespół usług produkcyjnych i różnych rodza</w:t>
      </w:r>
      <w:r>
        <w:rPr>
          <w:rFonts w:ascii="Calibri" w:hAnsi="Calibri"/>
          <w:sz w:val="20"/>
          <w:szCs w:val="20"/>
          <w:lang w:eastAsia="en-US"/>
        </w:rPr>
        <w:t>jów działalności gospodarczej (</w:t>
      </w:r>
      <w:r w:rsidRPr="00C86618">
        <w:rPr>
          <w:rFonts w:ascii="Calibri" w:hAnsi="Calibri"/>
          <w:sz w:val="20"/>
          <w:szCs w:val="20"/>
          <w:lang w:eastAsia="en-US"/>
        </w:rPr>
        <w:t xml:space="preserve">ok. </w:t>
      </w:r>
      <w:smartTag w:uri="urn:schemas-microsoft-com:office:smarttags" w:element="metricconverter">
        <w:smartTagPr>
          <w:attr w:name="ProductID" w:val="15 ha"/>
        </w:smartTagPr>
        <w:r w:rsidRPr="00C86618">
          <w:rPr>
            <w:rFonts w:ascii="Calibri" w:hAnsi="Calibri"/>
            <w:sz w:val="20"/>
            <w:szCs w:val="20"/>
            <w:lang w:eastAsia="en-US"/>
          </w:rPr>
          <w:t xml:space="preserve">15 </w:t>
        </w:r>
        <w:r>
          <w:rPr>
            <w:rFonts w:ascii="Calibri" w:hAnsi="Calibri"/>
            <w:sz w:val="20"/>
            <w:szCs w:val="20"/>
            <w:lang w:eastAsia="en-US"/>
          </w:rPr>
          <w:t>ha</w:t>
        </w:r>
      </w:smartTag>
      <w:r>
        <w:rPr>
          <w:rFonts w:ascii="Calibri" w:hAnsi="Calibri"/>
          <w:sz w:val="20"/>
          <w:szCs w:val="20"/>
          <w:lang w:eastAsia="en-US"/>
        </w:rPr>
        <w:t>), osiedla mieszkalno-leśne (</w:t>
      </w:r>
      <w:r w:rsidRPr="00C86618">
        <w:rPr>
          <w:rFonts w:ascii="Calibri" w:hAnsi="Calibri"/>
          <w:sz w:val="20"/>
          <w:szCs w:val="20"/>
          <w:lang w:eastAsia="en-US"/>
        </w:rPr>
        <w:t xml:space="preserve">ok. </w:t>
      </w:r>
      <w:smartTag w:uri="urn:schemas-microsoft-com:office:smarttags" w:element="metricconverter">
        <w:smartTagPr>
          <w:attr w:name="ProductID" w:val="55 ha"/>
        </w:smartTagPr>
        <w:r w:rsidRPr="00C86618">
          <w:rPr>
            <w:rFonts w:ascii="Calibri" w:hAnsi="Calibri"/>
            <w:sz w:val="20"/>
            <w:szCs w:val="20"/>
            <w:lang w:eastAsia="en-US"/>
          </w:rPr>
          <w:t>55 ha</w:t>
        </w:r>
      </w:smartTag>
      <w:r w:rsidRPr="00C86618">
        <w:rPr>
          <w:rFonts w:ascii="Calibri" w:hAnsi="Calibri"/>
          <w:sz w:val="20"/>
          <w:szCs w:val="20"/>
          <w:lang w:eastAsia="en-US"/>
        </w:rPr>
        <w:t>), z</w:t>
      </w:r>
      <w:r>
        <w:rPr>
          <w:rFonts w:ascii="Calibri" w:hAnsi="Calibri"/>
          <w:sz w:val="20"/>
          <w:szCs w:val="20"/>
          <w:lang w:eastAsia="en-US"/>
        </w:rPr>
        <w:t>espół zabudowy jednorodzinnej (</w:t>
      </w:r>
      <w:r w:rsidRPr="00C86618">
        <w:rPr>
          <w:rFonts w:ascii="Calibri" w:hAnsi="Calibri"/>
          <w:sz w:val="20"/>
          <w:szCs w:val="20"/>
          <w:lang w:eastAsia="en-US"/>
        </w:rPr>
        <w:t xml:space="preserve">ok. </w:t>
      </w:r>
      <w:smartTag w:uri="urn:schemas-microsoft-com:office:smarttags" w:element="metricconverter">
        <w:smartTagPr>
          <w:attr w:name="ProductID" w:val="20 ha"/>
        </w:smartTagPr>
        <w:r w:rsidRPr="00C86618">
          <w:rPr>
            <w:rFonts w:ascii="Calibri" w:hAnsi="Calibri"/>
            <w:sz w:val="20"/>
            <w:szCs w:val="20"/>
            <w:lang w:eastAsia="en-US"/>
          </w:rPr>
          <w:t>20 ha</w:t>
        </w:r>
      </w:smartTag>
      <w:r w:rsidRPr="00C86618">
        <w:rPr>
          <w:rFonts w:ascii="Calibri" w:hAnsi="Calibri"/>
          <w:sz w:val="20"/>
          <w:szCs w:val="20"/>
          <w:lang w:eastAsia="en-US"/>
        </w:rPr>
        <w:t>)</w:t>
      </w:r>
      <w:r>
        <w:rPr>
          <w:rFonts w:ascii="Calibri" w:hAnsi="Calibri"/>
          <w:sz w:val="20"/>
          <w:szCs w:val="20"/>
          <w:lang w:eastAsia="en-US"/>
        </w:rPr>
        <w:t>, zespół przemysłowo-składowy (</w:t>
      </w:r>
      <w:r w:rsidRPr="00C86618">
        <w:rPr>
          <w:rFonts w:ascii="Calibri" w:hAnsi="Calibri"/>
          <w:sz w:val="20"/>
          <w:szCs w:val="20"/>
          <w:lang w:eastAsia="en-US"/>
        </w:rPr>
        <w:t xml:space="preserve">ok. </w:t>
      </w:r>
      <w:smartTag w:uri="urn:schemas-microsoft-com:office:smarttags" w:element="metricconverter">
        <w:smartTagPr>
          <w:attr w:name="ProductID" w:val="80 ha"/>
        </w:smartTagPr>
        <w:r w:rsidRPr="00C86618">
          <w:rPr>
            <w:rFonts w:ascii="Calibri" w:hAnsi="Calibri"/>
            <w:sz w:val="20"/>
            <w:szCs w:val="20"/>
            <w:lang w:eastAsia="en-US"/>
          </w:rPr>
          <w:t>80 ha</w:t>
        </w:r>
      </w:smartTag>
      <w:r w:rsidRPr="00C86618">
        <w:rPr>
          <w:rFonts w:ascii="Calibri" w:hAnsi="Calibri"/>
          <w:sz w:val="20"/>
          <w:szCs w:val="20"/>
          <w:lang w:eastAsia="en-US"/>
        </w:rPr>
        <w:t>) na terenie miejscowości Wielbark i Nowa Wieś, oraz obszary rozmieszczenia obiektów handl</w:t>
      </w:r>
      <w:r>
        <w:rPr>
          <w:rFonts w:ascii="Calibri" w:hAnsi="Calibri"/>
          <w:sz w:val="20"/>
          <w:szCs w:val="20"/>
          <w:lang w:eastAsia="en-US"/>
        </w:rPr>
        <w:t>owych o powierzchni sprzedaży (</w:t>
      </w:r>
      <w:r w:rsidRPr="00C86618">
        <w:rPr>
          <w:rFonts w:ascii="Calibri" w:hAnsi="Calibri"/>
          <w:sz w:val="20"/>
          <w:szCs w:val="20"/>
          <w:lang w:eastAsia="en-US"/>
        </w:rPr>
        <w:t xml:space="preserve">pow. </w:t>
      </w:r>
      <w:smartTag w:uri="urn:schemas-microsoft-com:office:smarttags" w:element="metricconverter">
        <w:smartTagPr>
          <w:attr w:name="ProductID" w:val="2000 m²"/>
        </w:smartTagPr>
        <w:r w:rsidRPr="00C86618">
          <w:rPr>
            <w:rFonts w:ascii="Calibri" w:hAnsi="Calibri"/>
            <w:sz w:val="20"/>
            <w:szCs w:val="20"/>
            <w:lang w:eastAsia="en-US"/>
          </w:rPr>
          <w:t>2000 m²</w:t>
        </w:r>
      </w:smartTag>
      <w:r w:rsidRPr="00C86618">
        <w:rPr>
          <w:rFonts w:ascii="Calibri" w:hAnsi="Calibri"/>
          <w:sz w:val="20"/>
          <w:szCs w:val="20"/>
          <w:lang w:eastAsia="en-US"/>
        </w:rPr>
        <w:t xml:space="preserve">) w Grobelnie, </w:t>
      </w:r>
    </w:p>
    <w:p w:rsidR="00FB2534" w:rsidRPr="00C86618" w:rsidRDefault="00FB2534" w:rsidP="00C53C9A">
      <w:pPr>
        <w:numPr>
          <w:ilvl w:val="0"/>
          <w:numId w:val="34"/>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renowacja osiedli zabudowy wielorodzinnej oraz modernizacja zabudowy mieszkaniowej w</w:t>
      </w:r>
      <w:r>
        <w:rPr>
          <w:rFonts w:ascii="Calibri" w:hAnsi="Calibri"/>
          <w:sz w:val="20"/>
          <w:szCs w:val="20"/>
          <w:lang w:eastAsia="en-US"/>
        </w:rPr>
        <w:t> </w:t>
      </w:r>
      <w:r w:rsidRPr="00C86618">
        <w:rPr>
          <w:rFonts w:ascii="Calibri" w:hAnsi="Calibri"/>
          <w:sz w:val="20"/>
          <w:szCs w:val="20"/>
          <w:lang w:eastAsia="en-US"/>
        </w:rPr>
        <w:t>istniejących zagrodach,</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transport</w:t>
      </w:r>
    </w:p>
    <w:p w:rsidR="00FB2534" w:rsidRPr="00C86618" w:rsidRDefault="00FB2534" w:rsidP="00D84372">
      <w:pPr>
        <w:numPr>
          <w:ilvl w:val="0"/>
          <w:numId w:val="3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realizacja tras rowerowych, w tym trasy po śladzie zlikwidowanej kolei wąskotorowej z</w:t>
      </w:r>
      <w:r>
        <w:rPr>
          <w:rFonts w:ascii="Calibri" w:hAnsi="Calibri"/>
          <w:sz w:val="20"/>
          <w:szCs w:val="20"/>
          <w:lang w:eastAsia="en-US"/>
        </w:rPr>
        <w:t> </w:t>
      </w:r>
      <w:r w:rsidRPr="00C86618">
        <w:rPr>
          <w:rFonts w:ascii="Calibri" w:hAnsi="Calibri"/>
          <w:sz w:val="20"/>
          <w:szCs w:val="20"/>
          <w:lang w:eastAsia="en-US"/>
        </w:rPr>
        <w:t>Miłoradza do Nowego Stawu,</w:t>
      </w:r>
    </w:p>
    <w:p w:rsidR="00FB2534" w:rsidRPr="00C86618" w:rsidRDefault="00FB2534" w:rsidP="00D84372">
      <w:pPr>
        <w:numPr>
          <w:ilvl w:val="0"/>
          <w:numId w:val="3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budowa obwodnicy miasta Malborka na terenach gminy Malbork, </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rolnictwo i rybactwo</w:t>
      </w:r>
    </w:p>
    <w:p w:rsidR="00FB2534" w:rsidRPr="00C86618" w:rsidRDefault="00FB2534" w:rsidP="00D84372">
      <w:pPr>
        <w:numPr>
          <w:ilvl w:val="0"/>
          <w:numId w:val="36"/>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promowanie i wspieranie produkcji roślinnej, zgodnej z naturalnymi warunkami obszarów rolniczych w żuławskiej części gminy, oraz  produkcji ogrodniczej i sadowniczej, zgodnej z</w:t>
      </w:r>
      <w:r>
        <w:rPr>
          <w:rFonts w:ascii="Calibri" w:hAnsi="Calibri"/>
          <w:sz w:val="20"/>
          <w:szCs w:val="20"/>
          <w:lang w:eastAsia="en-US"/>
        </w:rPr>
        <w:t> </w:t>
      </w:r>
      <w:r w:rsidRPr="00C86618">
        <w:rPr>
          <w:rFonts w:ascii="Calibri" w:hAnsi="Calibri"/>
          <w:sz w:val="20"/>
          <w:szCs w:val="20"/>
          <w:lang w:eastAsia="en-US"/>
        </w:rPr>
        <w:t>naturalnymi warunkami obszarów rolniczych na terenie Nowej Wsi i Wielbarka,</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leśnictwo</w:t>
      </w:r>
    </w:p>
    <w:p w:rsidR="00FB2534" w:rsidRPr="00C86618" w:rsidRDefault="00FB2534" w:rsidP="00120D48">
      <w:pPr>
        <w:numPr>
          <w:ilvl w:val="0"/>
          <w:numId w:val="36"/>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promowanie działań dotyczących zalesienia wytypowanych terenów, </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przemysł</w:t>
      </w:r>
    </w:p>
    <w:p w:rsidR="00FB2534" w:rsidRPr="00C86618" w:rsidRDefault="00FB2534" w:rsidP="00A96A2C">
      <w:pPr>
        <w:numPr>
          <w:ilvl w:val="0"/>
          <w:numId w:val="38"/>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zmniejszenie energochłonności i materiałochłonności, </w:t>
      </w:r>
    </w:p>
    <w:p w:rsidR="00FB2534" w:rsidRPr="00C86618" w:rsidRDefault="00FB2534" w:rsidP="00A96A2C">
      <w:pPr>
        <w:numPr>
          <w:ilvl w:val="0"/>
          <w:numId w:val="38"/>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zmniejszenia ilości i toksyczności odpadów poprodukcyjnych oraz zwiększenie stopnia odzysku, </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handel i usługi</w:t>
      </w:r>
    </w:p>
    <w:p w:rsidR="00FB2534" w:rsidRPr="00C86618" w:rsidRDefault="00FB2534" w:rsidP="002E7F7D">
      <w:pPr>
        <w:numPr>
          <w:ilvl w:val="0"/>
          <w:numId w:val="40"/>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promowanie i wspieranie rozwoju agroturystyki we wsiach Kraśniewo i Kamienica,</w:t>
      </w:r>
    </w:p>
    <w:p w:rsidR="00FB2534" w:rsidRPr="00C86618" w:rsidRDefault="00FB2534" w:rsidP="002E7F7D">
      <w:pPr>
        <w:numPr>
          <w:ilvl w:val="0"/>
          <w:numId w:val="40"/>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utworzenie ośrodka usługowo-turystycznego w okolicach rzeki Nogat,</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gospodarstwa domowe</w:t>
      </w:r>
    </w:p>
    <w:p w:rsidR="00FB2534" w:rsidRPr="00C86618" w:rsidRDefault="00FB2534" w:rsidP="002E7F7D">
      <w:pPr>
        <w:numPr>
          <w:ilvl w:val="0"/>
          <w:numId w:val="39"/>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renowacja osiedli zabudowy wielorodzinnej oraz modernizacja zabudowy mieszkaniowej w</w:t>
      </w:r>
      <w:r>
        <w:rPr>
          <w:rFonts w:ascii="Calibri" w:hAnsi="Calibri"/>
          <w:sz w:val="20"/>
          <w:szCs w:val="20"/>
          <w:lang w:eastAsia="en-US"/>
        </w:rPr>
        <w:t> </w:t>
      </w:r>
      <w:r w:rsidRPr="00C86618">
        <w:rPr>
          <w:rFonts w:ascii="Calibri" w:hAnsi="Calibri"/>
          <w:sz w:val="20"/>
          <w:szCs w:val="20"/>
          <w:lang w:eastAsia="en-US"/>
        </w:rPr>
        <w:t xml:space="preserve">istniejących zagrodach, </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odpady</w:t>
      </w:r>
    </w:p>
    <w:p w:rsidR="00FB2534" w:rsidRPr="00C86618" w:rsidRDefault="00FB2534" w:rsidP="00DB57FA">
      <w:pPr>
        <w:numPr>
          <w:ilvl w:val="0"/>
          <w:numId w:val="41"/>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zmniejszenie materiałochłonności i odpadowości produkcji, </w:t>
      </w:r>
    </w:p>
    <w:p w:rsidR="00FB2534" w:rsidRPr="00C86618" w:rsidRDefault="00FB2534" w:rsidP="00DB57FA">
      <w:pPr>
        <w:numPr>
          <w:ilvl w:val="0"/>
          <w:numId w:val="41"/>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organizacja systemu segregacji i usuwania odpadów, obejmującego wszystkie nieruchomości w gminie, </w:t>
      </w:r>
    </w:p>
    <w:p w:rsidR="00FB2534" w:rsidRPr="00C86618" w:rsidRDefault="00FB2534" w:rsidP="00DB57FA">
      <w:pPr>
        <w:numPr>
          <w:ilvl w:val="0"/>
          <w:numId w:val="41"/>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likwidacja i rekultywacja terenów zanieczyszczonych odpadami ( np. dzikie wysypiska),</w:t>
      </w:r>
    </w:p>
    <w:p w:rsidR="00FB2534" w:rsidRPr="00C86618" w:rsidRDefault="00FB2534" w:rsidP="00DB57FA">
      <w:pPr>
        <w:numPr>
          <w:ilvl w:val="0"/>
          <w:numId w:val="41"/>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 xml:space="preserve">działania prowadzące do zaprzestania stosowania środków chemicznych na obszarach cennych przyrodniczo, </w:t>
      </w:r>
    </w:p>
    <w:p w:rsidR="00FB2534" w:rsidRPr="00C86618" w:rsidRDefault="00FB2534" w:rsidP="00DB57FA">
      <w:pPr>
        <w:numPr>
          <w:ilvl w:val="0"/>
          <w:numId w:val="41"/>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zmniejszenia ilości i toksyczności odpadów poprodukcyjnych oraz zwiększenie stopnia odzysku,</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edukacja/dialog społeczny</w:t>
      </w:r>
    </w:p>
    <w:p w:rsidR="00FB2534" w:rsidRPr="00C86618" w:rsidRDefault="00FB2534" w:rsidP="00697900">
      <w:pPr>
        <w:numPr>
          <w:ilvl w:val="0"/>
          <w:numId w:val="42"/>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wdrażanie edukacji ekologicznej oraz upowszechnianie idei ekorozwoju,</w:t>
      </w:r>
    </w:p>
    <w:p w:rsidR="00FB2534" w:rsidRPr="00C86618" w:rsidRDefault="00FB2534" w:rsidP="00670A55">
      <w:pPr>
        <w:numPr>
          <w:ilvl w:val="0"/>
          <w:numId w:val="27"/>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zrównoważony rozwój, ochrona dziedzictwa przyrodniczego i kulturowego</w:t>
      </w:r>
    </w:p>
    <w:p w:rsidR="00FB2534" w:rsidRPr="00C86618" w:rsidRDefault="00FB2534" w:rsidP="002E0866">
      <w:pPr>
        <w:numPr>
          <w:ilvl w:val="0"/>
          <w:numId w:val="43"/>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ustanowienie użytków ekologicznych na terenach Nowej Wsi, Wielbarka i w Cisach</w:t>
      </w:r>
      <w:r>
        <w:rPr>
          <w:rFonts w:ascii="Calibri" w:hAnsi="Calibri"/>
          <w:sz w:val="20"/>
          <w:szCs w:val="20"/>
          <w:lang w:eastAsia="en-US"/>
        </w:rPr>
        <w:t>,</w:t>
      </w:r>
    </w:p>
    <w:p w:rsidR="00FB2534" w:rsidRPr="00C86618" w:rsidRDefault="00FB2534" w:rsidP="002E0866">
      <w:pPr>
        <w:numPr>
          <w:ilvl w:val="0"/>
          <w:numId w:val="43"/>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objęcie ochroną prawną alei sosnowej w Nowej Wsi</w:t>
      </w:r>
      <w:r>
        <w:rPr>
          <w:rFonts w:ascii="Calibri" w:hAnsi="Calibri"/>
          <w:sz w:val="20"/>
          <w:szCs w:val="20"/>
          <w:lang w:eastAsia="en-US"/>
        </w:rPr>
        <w:t>,</w:t>
      </w:r>
    </w:p>
    <w:p w:rsidR="00FB2534" w:rsidRPr="00C86618" w:rsidRDefault="00FB2534" w:rsidP="002E0866">
      <w:pPr>
        <w:numPr>
          <w:ilvl w:val="0"/>
          <w:numId w:val="43"/>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promowanie walorów krajoznawczych gminy, w szczególności lapidarium Mennonitów w</w:t>
      </w:r>
      <w:r>
        <w:rPr>
          <w:rFonts w:ascii="Calibri" w:hAnsi="Calibri"/>
          <w:sz w:val="20"/>
          <w:szCs w:val="20"/>
          <w:lang w:eastAsia="en-US"/>
        </w:rPr>
        <w:t> </w:t>
      </w:r>
      <w:r w:rsidRPr="00C86618">
        <w:rPr>
          <w:rFonts w:ascii="Calibri" w:hAnsi="Calibri"/>
          <w:sz w:val="20"/>
          <w:szCs w:val="20"/>
          <w:lang w:eastAsia="en-US"/>
        </w:rPr>
        <w:t>Stogach</w:t>
      </w:r>
      <w:r>
        <w:rPr>
          <w:rFonts w:ascii="Calibri" w:hAnsi="Calibri"/>
          <w:sz w:val="20"/>
          <w:szCs w:val="20"/>
          <w:lang w:eastAsia="en-US"/>
        </w:rPr>
        <w:t>,</w:t>
      </w:r>
    </w:p>
    <w:p w:rsidR="00FB2534" w:rsidRPr="00A51C15" w:rsidRDefault="00FB2534" w:rsidP="00E77C13">
      <w:pPr>
        <w:numPr>
          <w:ilvl w:val="0"/>
          <w:numId w:val="43"/>
        </w:numPr>
        <w:spacing w:after="160" w:line="259" w:lineRule="auto"/>
        <w:contextualSpacing/>
        <w:jc w:val="both"/>
        <w:rPr>
          <w:rFonts w:ascii="Calibri" w:hAnsi="Calibri"/>
          <w:sz w:val="20"/>
          <w:szCs w:val="20"/>
          <w:lang w:eastAsia="en-US"/>
        </w:rPr>
      </w:pPr>
      <w:r w:rsidRPr="00C86618">
        <w:rPr>
          <w:rFonts w:ascii="Calibri" w:hAnsi="Calibri"/>
          <w:sz w:val="20"/>
          <w:szCs w:val="20"/>
          <w:lang w:eastAsia="en-US"/>
        </w:rPr>
        <w:t>ochrona mieszkańców przed wpływem pola elektromagnetycznego,</w:t>
      </w:r>
    </w:p>
    <w:p w:rsidR="00FB2534" w:rsidRDefault="00FB2534" w:rsidP="00A51C15">
      <w:pPr>
        <w:pStyle w:val="GOMnagl1"/>
        <w:spacing w:before="240"/>
        <w:ind w:left="357" w:hanging="357"/>
      </w:pPr>
      <w:bookmarkStart w:id="90" w:name="_Toc412201388"/>
      <w:bookmarkStart w:id="91" w:name="_Toc422133327"/>
      <w:r w:rsidRPr="006A49C0">
        <w:t xml:space="preserve">Analiza stanu </w:t>
      </w:r>
      <w:r>
        <w:t>aktualnego</w:t>
      </w:r>
      <w:bookmarkEnd w:id="90"/>
      <w:bookmarkEnd w:id="91"/>
    </w:p>
    <w:p w:rsidR="00FB2534" w:rsidRDefault="00FB2534" w:rsidP="00E929C1">
      <w:pPr>
        <w:pStyle w:val="GOMnagl2"/>
        <w:ind w:left="720"/>
      </w:pPr>
      <w:bookmarkStart w:id="92" w:name="_Toc412201389"/>
      <w:bookmarkStart w:id="93" w:name="_Toc422133328"/>
      <w:r>
        <w:t xml:space="preserve">Charakterystyka obszaru </w:t>
      </w:r>
      <w:bookmarkEnd w:id="92"/>
      <w:r>
        <w:t>GOM</w:t>
      </w:r>
      <w:bookmarkEnd w:id="93"/>
    </w:p>
    <w:p w:rsidR="00FB2534" w:rsidRDefault="00FB2534" w:rsidP="00E929C1">
      <w:pPr>
        <w:pStyle w:val="GOMnormal"/>
      </w:pPr>
      <w:r>
        <w:rPr>
          <w:lang w:eastAsia="ar-SA"/>
        </w:rPr>
        <w:t>Charakterystyka Gdańskiego Obszaru Metropolitalnego znajduje się w rozdziale 6.1 „Planu gospodarki niskoemisyjnej dla Gdańskiego Obszaru Metropolitalnego.</w:t>
      </w:r>
    </w:p>
    <w:p w:rsidR="00FB2534" w:rsidRPr="006A49C0" w:rsidRDefault="00FB2534" w:rsidP="00E929C1">
      <w:pPr>
        <w:pStyle w:val="GOMnagl2"/>
        <w:ind w:left="720"/>
      </w:pPr>
      <w:bookmarkStart w:id="94" w:name="_Toc412201390"/>
      <w:bookmarkStart w:id="95" w:name="_Toc422133329"/>
      <w:r>
        <w:t>Ocena stanu środowiska</w:t>
      </w:r>
      <w:bookmarkEnd w:id="94"/>
      <w:r>
        <w:t xml:space="preserve"> na terenie GOM</w:t>
      </w:r>
      <w:bookmarkEnd w:id="95"/>
    </w:p>
    <w:p w:rsidR="00FB2534" w:rsidRDefault="00FB2534" w:rsidP="00E929C1">
      <w:pPr>
        <w:pStyle w:val="GOMnormal"/>
      </w:pPr>
      <w:r w:rsidRPr="00E929C1">
        <w:rPr>
          <w:lang w:eastAsia="ar-SA"/>
        </w:rPr>
        <w:t xml:space="preserve">Ocena aktualnego stanu środowiska na terenie GOM </w:t>
      </w:r>
      <w:r>
        <w:rPr>
          <w:lang w:eastAsia="ar-SA"/>
        </w:rPr>
        <w:t>znajduje się w rozdziale 6.2 „Planu gospodarki niskoemisyjnej dla Gdańskiego Obszaru Metropolitalnego.</w:t>
      </w:r>
    </w:p>
    <w:p w:rsidR="00FB2534" w:rsidRDefault="00FB2534" w:rsidP="00E929C1">
      <w:pPr>
        <w:pStyle w:val="GOMnagl2"/>
        <w:ind w:left="720"/>
      </w:pPr>
      <w:bookmarkStart w:id="96" w:name="_Toc422133330"/>
      <w:r>
        <w:t>Charakterystyka obszaru Gminy Wiejskiej Malbork</w:t>
      </w:r>
      <w:bookmarkEnd w:id="96"/>
    </w:p>
    <w:p w:rsidR="00FB2534" w:rsidRDefault="00FB2534" w:rsidP="00670A55">
      <w:pPr>
        <w:pStyle w:val="GOMnormal"/>
      </w:pPr>
      <w:r w:rsidRPr="005D300B">
        <w:t>Gmina Malbork poło</w:t>
      </w:r>
      <w:r>
        <w:t>ż</w:t>
      </w:r>
      <w:r w:rsidRPr="005D300B">
        <w:t>ona jest w południowo - wschodniej części województwa</w:t>
      </w:r>
      <w:r>
        <w:t xml:space="preserve"> pomorskiego i jest jedną z </w:t>
      </w:r>
      <w:r w:rsidRPr="005D300B">
        <w:t>6 gmin powiatu malborskiego. Zajmuje obszar o wielkości</w:t>
      </w:r>
      <w:r>
        <w:t xml:space="preserve"> </w:t>
      </w:r>
      <w:r w:rsidRPr="005D300B">
        <w:t>100,67 km2, granicząc z miastem Malbork (otacza je prawie całkowicie) oraz gminami: Nowy</w:t>
      </w:r>
      <w:r>
        <w:t xml:space="preserve"> </w:t>
      </w:r>
      <w:r w:rsidRPr="005D300B">
        <w:t>Staw, Lichnowy, Miłoradz, Stare Pole (z powiatu malborskiego) oraz z gminami Sztum i Stary</w:t>
      </w:r>
      <w:r>
        <w:t xml:space="preserve"> </w:t>
      </w:r>
      <w:r w:rsidRPr="005D300B">
        <w:t>Targ (w powiecie sztumskim).</w:t>
      </w:r>
    </w:p>
    <w:p w:rsidR="00FB2534" w:rsidRPr="005D300B" w:rsidRDefault="00FB2534" w:rsidP="00670A55">
      <w:pPr>
        <w:pStyle w:val="GOMnormal"/>
      </w:pPr>
    </w:p>
    <w:p w:rsidR="00FB2534" w:rsidRDefault="00FB2534" w:rsidP="00E62C4D">
      <w:pPr>
        <w:pStyle w:val="GOMnormal"/>
        <w:jc w:val="center"/>
      </w:pPr>
      <w:r>
        <w:rPr>
          <w:noProof/>
        </w:rPr>
        <w:pict>
          <v:shape id="Obraz 1" o:spid="_x0000_i1027" type="#_x0000_t75" alt="malbork wies" style="width:428.25pt;height:237.75pt;visibility:visible">
            <v:imagedata r:id="rId16" o:title=""/>
          </v:shape>
        </w:pict>
      </w:r>
    </w:p>
    <w:p w:rsidR="00FB2534" w:rsidRDefault="00FB2534" w:rsidP="00670A55">
      <w:pPr>
        <w:pStyle w:val="GOMpodpistab"/>
      </w:pPr>
      <w:bookmarkStart w:id="97" w:name="_Toc422133274"/>
      <w:r>
        <w:t xml:space="preserve">Rysunek </w:t>
      </w:r>
      <w:r>
        <w:fldChar w:fldCharType="begin"/>
      </w:r>
      <w:r>
        <w:instrText xml:space="preserve"> SEQ Rysunek \* ARABIC </w:instrText>
      </w:r>
      <w:r>
        <w:fldChar w:fldCharType="separate"/>
      </w:r>
      <w:r>
        <w:rPr>
          <w:noProof/>
        </w:rPr>
        <w:t>1</w:t>
      </w:r>
      <w:r>
        <w:fldChar w:fldCharType="end"/>
      </w:r>
      <w:r>
        <w:t xml:space="preserve">. Położenie gminy Malbork (źródło: </w:t>
      </w:r>
      <w:r w:rsidRPr="00694353">
        <w:t>www.google.pl/maps/</w:t>
      </w:r>
      <w:r>
        <w:t>)</w:t>
      </w:r>
      <w:bookmarkEnd w:id="97"/>
    </w:p>
    <w:p w:rsidR="00FB2534" w:rsidRDefault="00FB2534" w:rsidP="00670A55">
      <w:pPr>
        <w:pStyle w:val="GOMnormal"/>
      </w:pPr>
      <w:r w:rsidRPr="005D300B">
        <w:t>Gmina składa się z 1</w:t>
      </w:r>
      <w:r>
        <w:t>8</w:t>
      </w:r>
      <w:r w:rsidRPr="005D300B">
        <w:t xml:space="preserve"> sołectw: Cisy, Grobelno, Kałdowo Wieś, Kamienica,</w:t>
      </w:r>
      <w:r>
        <w:t xml:space="preserve"> </w:t>
      </w:r>
      <w:r w:rsidRPr="005D300B">
        <w:t>Kamionka, Kościeleczki, Kraśniewo, Lasowice Małe, Lasowice Wielkie, Lasowice Agro Lawi,</w:t>
      </w:r>
      <w:r>
        <w:t xml:space="preserve"> </w:t>
      </w:r>
      <w:r w:rsidRPr="005D300B">
        <w:t>Nowa Wieś, Pielica, Stogi, Szawałd, Tragamin, Wielbark</w:t>
      </w:r>
      <w:r>
        <w:t>, Kałdowo 2, Wielbark Poligon</w:t>
      </w:r>
    </w:p>
    <w:p w:rsidR="00FB2534" w:rsidRDefault="00FB2534" w:rsidP="00670A55">
      <w:pPr>
        <w:pStyle w:val="GOMnormal"/>
      </w:pPr>
      <w:r w:rsidRPr="005D300B">
        <w:t>Gmina Malbork jest poło</w:t>
      </w:r>
      <w:r>
        <w:t>ż</w:t>
      </w:r>
      <w:r w:rsidRPr="005D300B">
        <w:t>ona dookoła miasta Malbork, dlatego te</w:t>
      </w:r>
      <w:r>
        <w:t>ż</w:t>
      </w:r>
      <w:r w:rsidRPr="005D300B">
        <w:t xml:space="preserve"> w zakresie szeregu</w:t>
      </w:r>
      <w:r>
        <w:t xml:space="preserve"> </w:t>
      </w:r>
      <w:r w:rsidRPr="005D300B">
        <w:t>usług ponadlokalnych pozostaje w sferze obsługi miasta Malbork.</w:t>
      </w:r>
    </w:p>
    <w:p w:rsidR="00FB2534" w:rsidRDefault="00FB2534" w:rsidP="00AB7AFC">
      <w:pPr>
        <w:pStyle w:val="GOMnormal"/>
        <w:rPr>
          <w:lang w:eastAsia="ar-SA"/>
        </w:rPr>
      </w:pPr>
      <w:r w:rsidRPr="005D300B">
        <w:t xml:space="preserve">Liczba ludności zamieszkująca gminę wynosi 4 </w:t>
      </w:r>
      <w:r>
        <w:t>651</w:t>
      </w:r>
      <w:r w:rsidRPr="005D300B">
        <w:t xml:space="preserve"> osób (dane </w:t>
      </w:r>
      <w:r>
        <w:t xml:space="preserve">GUS </w:t>
      </w:r>
      <w:r w:rsidRPr="005D300B">
        <w:t>z 20</w:t>
      </w:r>
      <w:r>
        <w:t xml:space="preserve">13 </w:t>
      </w:r>
      <w:r w:rsidRPr="005D300B">
        <w:t>r.).</w:t>
      </w:r>
      <w:r>
        <w:t xml:space="preserve"> </w:t>
      </w:r>
      <w:r w:rsidRPr="005D300B">
        <w:t>Największą miejscowością jest Nowa Wieś, która liczy 756 mieszkańców.</w:t>
      </w:r>
      <w:r>
        <w:t xml:space="preserve"> </w:t>
      </w:r>
      <w:r w:rsidRPr="005D300B">
        <w:t>Podstawową formą u</w:t>
      </w:r>
      <w:r>
        <w:t>ż</w:t>
      </w:r>
      <w:r w:rsidRPr="005D300B">
        <w:t>ytkowania terenu gminy Malbork jest u</w:t>
      </w:r>
      <w:r>
        <w:t>ż</w:t>
      </w:r>
      <w:r w:rsidRPr="005D300B">
        <w:t>ytkowanie rolnicze.</w:t>
      </w:r>
      <w:r>
        <w:t xml:space="preserve"> </w:t>
      </w:r>
      <w:r w:rsidRPr="005D300B">
        <w:t>Rozpatrując kryterium obszarowe gminy mo</w:t>
      </w:r>
      <w:r>
        <w:t>ż</w:t>
      </w:r>
      <w:r w:rsidRPr="005D300B">
        <w:t>na stwierdzić, i</w:t>
      </w:r>
      <w:r>
        <w:t>ż</w:t>
      </w:r>
      <w:r w:rsidRPr="005D300B">
        <w:t xml:space="preserve"> jest to gmina o</w:t>
      </w:r>
      <w:r>
        <w:t> </w:t>
      </w:r>
      <w:r w:rsidRPr="005D300B">
        <w:t>charakterze</w:t>
      </w:r>
      <w:r>
        <w:t xml:space="preserve"> </w:t>
      </w:r>
      <w:r w:rsidRPr="005D300B">
        <w:t>rolniczym.</w:t>
      </w:r>
      <w:r>
        <w:t xml:space="preserve"> </w:t>
      </w:r>
      <w:r w:rsidRPr="005D300B">
        <w:t>U</w:t>
      </w:r>
      <w:r>
        <w:t>ż</w:t>
      </w:r>
      <w:r w:rsidRPr="005D300B">
        <w:t xml:space="preserve">ytki rolne zajmują tutaj </w:t>
      </w:r>
      <w:smartTag w:uri="urn:schemas-microsoft-com:office:smarttags" w:element="metricconverter">
        <w:smartTagPr>
          <w:attr w:name="ProductID" w:val="8 712 ha"/>
        </w:smartTagPr>
        <w:r w:rsidRPr="005D300B">
          <w:t>8 712 ha</w:t>
        </w:r>
      </w:smartTag>
      <w:r>
        <w:t xml:space="preserve"> tj. 86,54</w:t>
      </w:r>
      <w:r w:rsidRPr="005D300B">
        <w:t>% powierzchni geodezyjnej gminy. U</w:t>
      </w:r>
      <w:r>
        <w:t>ż</w:t>
      </w:r>
      <w:r w:rsidRPr="005D300B">
        <w:t>ytki</w:t>
      </w:r>
      <w:r>
        <w:t xml:space="preserve"> </w:t>
      </w:r>
      <w:r w:rsidRPr="005D300B">
        <w:t>leśne w obrębie analizowanego obszaru zajmują bardzo niewielką powierzchnię. Ich</w:t>
      </w:r>
      <w:r>
        <w:t xml:space="preserve"> </w:t>
      </w:r>
      <w:r w:rsidRPr="005D300B">
        <w:t xml:space="preserve">powierzchnia geodezyjna wynosi zaledwie </w:t>
      </w:r>
      <w:smartTag w:uri="urn:schemas-microsoft-com:office:smarttags" w:element="metricconverter">
        <w:smartTagPr>
          <w:attr w:name="ProductID" w:val="145 ha"/>
        </w:smartTagPr>
        <w:r w:rsidRPr="005D300B">
          <w:t>145 ha</w:t>
        </w:r>
      </w:smartTag>
      <w:r>
        <w:t xml:space="preserve"> (1,44</w:t>
      </w:r>
      <w:r w:rsidRPr="005D300B">
        <w:t>% gminy). Niewielki odsetek</w:t>
      </w:r>
      <w:r>
        <w:t xml:space="preserve"> </w:t>
      </w:r>
      <w:r w:rsidRPr="005D300B">
        <w:t>powierzchni gminy zajmują tak</w:t>
      </w:r>
      <w:r>
        <w:t>ż</w:t>
      </w:r>
      <w:r w:rsidRPr="005D300B">
        <w:t>e wody powierzchniowe,</w:t>
      </w:r>
      <w:r>
        <w:t xml:space="preserve"> tj.</w:t>
      </w:r>
      <w:r w:rsidRPr="005D300B">
        <w:t xml:space="preserve"> 2,31% gminy. Pozostałe tereny</w:t>
      </w:r>
      <w:r>
        <w:t xml:space="preserve"> w strukturze uż</w:t>
      </w:r>
      <w:r w:rsidRPr="005D300B">
        <w:t>ytkowania gruntów w gminie Malbork kształtują się następująco: grunty</w:t>
      </w:r>
      <w:r>
        <w:t xml:space="preserve"> </w:t>
      </w:r>
      <w:r w:rsidRPr="005D300B">
        <w:t>zurbanizowane</w:t>
      </w:r>
      <w:r>
        <w:t xml:space="preserve"> i zajęte przez zabudowę – 8,61</w:t>
      </w:r>
      <w:r w:rsidRPr="005D300B">
        <w:t>% powierzchni gminy oraz tereny pozostałe</w:t>
      </w:r>
      <w:r>
        <w:t xml:space="preserve"> </w:t>
      </w:r>
      <w:r w:rsidRPr="005D300B">
        <w:t>wraz z nieu</w:t>
      </w:r>
      <w:r>
        <w:t>ż</w:t>
      </w:r>
      <w:r w:rsidRPr="005D300B">
        <w:t xml:space="preserve">ytkami – </w:t>
      </w:r>
      <w:r>
        <w:t>3,26</w:t>
      </w:r>
      <w:r w:rsidRPr="005D300B">
        <w:t>%.</w:t>
      </w:r>
    </w:p>
    <w:p w:rsidR="00FB2534" w:rsidRDefault="00FB2534" w:rsidP="00415796">
      <w:pPr>
        <w:pStyle w:val="GOMnagl3"/>
      </w:pPr>
      <w:bookmarkStart w:id="98" w:name="_Toc422133331"/>
      <w:r>
        <w:t>System ciepłowniczy</w:t>
      </w:r>
      <w:bookmarkEnd w:id="98"/>
    </w:p>
    <w:p w:rsidR="00FB2534" w:rsidRDefault="00FB2534" w:rsidP="00670A55">
      <w:pPr>
        <w:pStyle w:val="GOMnormal"/>
      </w:pPr>
      <w:r w:rsidRPr="005D300B">
        <w:t>Na obszarze gminy Malbork praktycznie nie występuje scentralizowana gospodarka</w:t>
      </w:r>
      <w:r>
        <w:t xml:space="preserve"> </w:t>
      </w:r>
      <w:r w:rsidRPr="005D300B">
        <w:t>cieplna. Ogrzewanie obiektów i produkcja ciepłej wody u</w:t>
      </w:r>
      <w:r>
        <w:t>ż</w:t>
      </w:r>
      <w:r w:rsidRPr="005D300B">
        <w:t>ytkowej odbywa się indywidualnie</w:t>
      </w:r>
      <w:r>
        <w:t xml:space="preserve"> </w:t>
      </w:r>
      <w:r w:rsidRPr="005D300B">
        <w:t>w oparciu o ró</w:t>
      </w:r>
      <w:r>
        <w:t>ż</w:t>
      </w:r>
      <w:r w:rsidRPr="005D300B">
        <w:t>ne źródła energii (węgiel, miał, drewno, w mniejszej ilości gaz płynny i olej</w:t>
      </w:r>
      <w:r>
        <w:t xml:space="preserve"> </w:t>
      </w:r>
      <w:r w:rsidRPr="005D300B">
        <w:t>opałowy).</w:t>
      </w:r>
    </w:p>
    <w:p w:rsidR="00FB2534" w:rsidRPr="00AD27BC" w:rsidRDefault="00FB2534" w:rsidP="00670A55">
      <w:pPr>
        <w:pStyle w:val="GOMnormal"/>
      </w:pPr>
      <w:r w:rsidRPr="00AD27BC">
        <w:t>Na terenie gminy nie ma zorganizowanego systemu zaopatrzenia w ciepło. Zaspokajanie potrzeb cieplnych odbywa się obecnie w oparciu o:</w:t>
      </w:r>
    </w:p>
    <w:p w:rsidR="00FB2534" w:rsidRPr="00AD27BC" w:rsidRDefault="00FB2534" w:rsidP="00670A55">
      <w:pPr>
        <w:pStyle w:val="GOMwypkt"/>
        <w:numPr>
          <w:ilvl w:val="0"/>
          <w:numId w:val="21"/>
        </w:numPr>
      </w:pPr>
      <w:r w:rsidRPr="00AD27BC">
        <w:t>Lokalne kotłownie opalane węglem i olejem opalowym zasilające budynki mieszkalne wielorodzinne obiekty użyt</w:t>
      </w:r>
      <w:r>
        <w:t>eczności publicznej i usługowe,</w:t>
      </w:r>
    </w:p>
    <w:p w:rsidR="00FB2534" w:rsidRPr="00AD27BC" w:rsidRDefault="00FB2534" w:rsidP="00670A55">
      <w:pPr>
        <w:pStyle w:val="GOMwypkt"/>
        <w:numPr>
          <w:ilvl w:val="0"/>
          <w:numId w:val="21"/>
        </w:numPr>
      </w:pPr>
      <w:r w:rsidRPr="00AD27BC">
        <w:t>Indywidualne źródła w domach mieszkalnych jedno i wielorodzinnych oraz obiektach usługowych, na paliwa stałe – głównie węgiel i w niewielkim stopniu drewno i jego odpady oraz gaz ziemny dostarczające energię cieplną na potrzeby centralnego i przygotowania cieplej wody.</w:t>
      </w:r>
    </w:p>
    <w:p w:rsidR="00FB2534" w:rsidRPr="00AD27BC" w:rsidRDefault="00FB2534" w:rsidP="00670A55">
      <w:pPr>
        <w:pStyle w:val="GOMnormal"/>
      </w:pPr>
      <w:r w:rsidRPr="00AD27BC">
        <w:t>W szczątkowej formie występują też elektryczne urządzenia grzewcze o pomijalnym udziale w bilansie ciepła.</w:t>
      </w:r>
      <w:r>
        <w:t xml:space="preserve"> </w:t>
      </w:r>
      <w:r w:rsidRPr="00AD27BC">
        <w:t>Ciepła woda w lecie przygotowywana jest w zdecydowanej większości (szacuje</w:t>
      </w:r>
      <w:r>
        <w:t xml:space="preserve"> się na ok. 85</w:t>
      </w:r>
      <w:r w:rsidRPr="00AD27BC">
        <w:t>%) w</w:t>
      </w:r>
      <w:r>
        <w:t> </w:t>
      </w:r>
      <w:r w:rsidRPr="00AD27BC">
        <w:t xml:space="preserve">urządzeniach elektrycznych. </w:t>
      </w:r>
    </w:p>
    <w:p w:rsidR="00FB2534" w:rsidRPr="00AD27BC" w:rsidRDefault="00FB2534" w:rsidP="002F18DB">
      <w:pPr>
        <w:pStyle w:val="GOMnormal"/>
        <w:tabs>
          <w:tab w:val="left" w:pos="5700"/>
        </w:tabs>
      </w:pPr>
      <w:r w:rsidRPr="00AD27BC">
        <w:t xml:space="preserve">Większe kotłownie lokalne funkcjonują w: </w:t>
      </w:r>
      <w:r>
        <w:tab/>
      </w:r>
    </w:p>
    <w:p w:rsidR="00FB2534" w:rsidRPr="00AD27BC" w:rsidRDefault="00FB2534" w:rsidP="00670A55">
      <w:pPr>
        <w:pStyle w:val="GOMwypkt"/>
        <w:numPr>
          <w:ilvl w:val="0"/>
          <w:numId w:val="21"/>
        </w:numPr>
      </w:pPr>
      <w:r w:rsidRPr="00AD27BC">
        <w:t>w szkołach - o mocy po ok. 0,040 MW, opalane węglem,</w:t>
      </w:r>
    </w:p>
    <w:p w:rsidR="00FB2534" w:rsidRPr="00AD27BC" w:rsidRDefault="00FB2534" w:rsidP="00670A55">
      <w:pPr>
        <w:pStyle w:val="GOMwypkt"/>
        <w:numPr>
          <w:ilvl w:val="0"/>
          <w:numId w:val="21"/>
        </w:numPr>
      </w:pPr>
      <w:r w:rsidRPr="00AD27BC">
        <w:t>w świetlicach wiejskich (3 obiekty) o mocy ok. 0,020 MW każda, opalane olejem,</w:t>
      </w:r>
    </w:p>
    <w:p w:rsidR="00FB2534" w:rsidRPr="00AD27BC" w:rsidRDefault="00FB2534" w:rsidP="00670A55">
      <w:pPr>
        <w:pStyle w:val="GOMwypkt"/>
        <w:numPr>
          <w:ilvl w:val="0"/>
          <w:numId w:val="21"/>
        </w:numPr>
      </w:pPr>
      <w:r w:rsidRPr="00AD27BC">
        <w:t>w budynkach wielorodzinnych we wsi Stogi (dwa obiekty) o mocy ok. 0,06 i 0,03 MW, opalane olejem opalowym,</w:t>
      </w:r>
    </w:p>
    <w:p w:rsidR="00FB2534" w:rsidRPr="00AD27BC" w:rsidRDefault="00FB2534" w:rsidP="00670A55">
      <w:pPr>
        <w:pStyle w:val="GOMwypkt"/>
        <w:numPr>
          <w:ilvl w:val="0"/>
          <w:numId w:val="21"/>
        </w:numPr>
      </w:pPr>
      <w:r w:rsidRPr="00AD27BC">
        <w:t xml:space="preserve">w </w:t>
      </w:r>
      <w:r>
        <w:t xml:space="preserve">firmie Madex </w:t>
      </w:r>
      <w:r w:rsidRPr="00AD27BC">
        <w:t xml:space="preserve"> o mocy ok. 0,04 MW, opalana węglem.</w:t>
      </w:r>
    </w:p>
    <w:p w:rsidR="00FB2534" w:rsidRDefault="00FB2534" w:rsidP="00415796">
      <w:pPr>
        <w:pStyle w:val="GOMnagl3"/>
      </w:pPr>
      <w:bookmarkStart w:id="99" w:name="_Toc422133332"/>
      <w:r>
        <w:t>System gazowniczy</w:t>
      </w:r>
      <w:bookmarkEnd w:id="99"/>
    </w:p>
    <w:p w:rsidR="00FB2534" w:rsidRDefault="00FB2534" w:rsidP="00DF1C89">
      <w:pPr>
        <w:pStyle w:val="GOMnormal"/>
        <w:rPr>
          <w:lang w:eastAsia="ar-SA"/>
        </w:rPr>
      </w:pPr>
      <w:r w:rsidRPr="005D300B">
        <w:t>Przez teren południową część gminy Malbork przebiega gazociąg wysokiego</w:t>
      </w:r>
      <w:r>
        <w:t xml:space="preserve"> </w:t>
      </w:r>
      <w:r w:rsidRPr="005D300B">
        <w:t>ciśnienia, ze stacją redukcyjną w Nowej Wsi Malborskiej. Przez wschodnią część gminy</w:t>
      </w:r>
      <w:r>
        <w:t xml:space="preserve"> </w:t>
      </w:r>
      <w:r w:rsidRPr="005D300B">
        <w:t xml:space="preserve">przebiega odgałęzienie gazociągu w kierunku Nowego Stawu. </w:t>
      </w:r>
      <w:r>
        <w:t>Według danych z Polskiej Spółki Gazownictwa Sp. z o.o. w gminie zgazyfikowane są jedynie 3 miejscowości: Kałdowo, Kościeleczki i Nowa Wieś Malborska. Planuje się gazyfikację miejscowości: Cisy, Grobelno, Kamionka, Kraśniewo, Lasowice Wielkie, Targamin. Pozostałe wsie pozostaną niezgazyfikowane w</w:t>
      </w:r>
      <w:r w:rsidRPr="005D300B">
        <w:t>ykorzyst</w:t>
      </w:r>
      <w:r>
        <w:t>ując</w:t>
      </w:r>
      <w:r w:rsidRPr="005D300B">
        <w:t xml:space="preserve"> gaz butlowy.</w:t>
      </w:r>
    </w:p>
    <w:p w:rsidR="00FB2534" w:rsidRDefault="00FB2534" w:rsidP="00415796">
      <w:pPr>
        <w:pStyle w:val="GOMnagl3"/>
      </w:pPr>
      <w:bookmarkStart w:id="100" w:name="_Toc422133333"/>
      <w:r>
        <w:t>System transportowy</w:t>
      </w:r>
      <w:bookmarkEnd w:id="100"/>
    </w:p>
    <w:p w:rsidR="00FB2534" w:rsidRPr="005D300B" w:rsidRDefault="00FB2534" w:rsidP="00670A55">
      <w:pPr>
        <w:pStyle w:val="GOMnormal"/>
      </w:pPr>
      <w:r w:rsidRPr="005D300B">
        <w:t>Przez teren gminy Malbork przebiegają drogi krajowe nr:</w:t>
      </w:r>
    </w:p>
    <w:p w:rsidR="00FB2534" w:rsidRPr="005D300B" w:rsidRDefault="00FB2534" w:rsidP="00670A55">
      <w:pPr>
        <w:pStyle w:val="GOMwypkt"/>
        <w:numPr>
          <w:ilvl w:val="0"/>
          <w:numId w:val="21"/>
        </w:numPr>
      </w:pPr>
      <w:r w:rsidRPr="005D300B">
        <w:t>nr 22 - Człuchów - Chojnice - Czersk -</w:t>
      </w:r>
      <w:r>
        <w:t xml:space="preserve"> </w:t>
      </w:r>
      <w:r w:rsidRPr="005D300B">
        <w:t>Starogard Gd. Czarlin - gmina Miłoradz, gmina Malbork, miasto Malbork, gmina</w:t>
      </w:r>
      <w:r>
        <w:t xml:space="preserve"> Stare Pole,</w:t>
      </w:r>
    </w:p>
    <w:p w:rsidR="00FB2534" w:rsidRDefault="00FB2534" w:rsidP="00670A55">
      <w:pPr>
        <w:pStyle w:val="GOMwypkt"/>
        <w:numPr>
          <w:ilvl w:val="0"/>
          <w:numId w:val="21"/>
        </w:numPr>
      </w:pPr>
      <w:r w:rsidRPr="005D300B">
        <w:t>nr 55 - Nowy Dwór Gd. – gmina Nowy Staw, gmina Malbork, miasto Malbork -</w:t>
      </w:r>
      <w:r>
        <w:t xml:space="preserve"> Sztum – Kwidzyn.</w:t>
      </w:r>
    </w:p>
    <w:p w:rsidR="00FB2534" w:rsidRDefault="00FB2534" w:rsidP="00670A55">
      <w:pPr>
        <w:pStyle w:val="GOMnormal"/>
      </w:pPr>
      <w:r w:rsidRPr="005D300B">
        <w:t>Przez teren powiatu malborskiego przebiega jedna droga wojewódzka nr 515,</w:t>
      </w:r>
      <w:r>
        <w:t xml:space="preserve"> przechodząca przez miasto i </w:t>
      </w:r>
      <w:r w:rsidRPr="005D300B">
        <w:t>gminę Malbork.</w:t>
      </w:r>
    </w:p>
    <w:p w:rsidR="00FB2534" w:rsidRDefault="00FB2534" w:rsidP="00670A55">
      <w:pPr>
        <w:pStyle w:val="GOMnormal"/>
      </w:pPr>
      <w:r w:rsidRPr="005D300B">
        <w:t>Podstawowy układ drogowy w samej gminie tworzą drogi powiatowe stanowiące</w:t>
      </w:r>
      <w:r>
        <w:t xml:space="preserve"> </w:t>
      </w:r>
      <w:r w:rsidRPr="005D300B">
        <w:t>połączenie regionalnych ośrodków z ośrodkami gminnymi i ośrodków gminnych między sobą</w:t>
      </w:r>
      <w:r>
        <w:t xml:space="preserve"> </w:t>
      </w:r>
      <w:r w:rsidRPr="005D300B">
        <w:t>oraz zapewniają powiązania z siecią dróg wojewódzkich i krajowych. Na terenie gminy</w:t>
      </w:r>
      <w:r>
        <w:t xml:space="preserve"> </w:t>
      </w:r>
      <w:r w:rsidRPr="005D300B">
        <w:t>znajduje się 11 odcinków dróg powiatowych o</w:t>
      </w:r>
      <w:r>
        <w:t xml:space="preserve"> łącznej</w:t>
      </w:r>
      <w:r w:rsidRPr="005D300B">
        <w:t xml:space="preserve"> długości około </w:t>
      </w:r>
      <w:smartTag w:uri="urn:schemas-microsoft-com:office:smarttags" w:element="metricconverter">
        <w:smartTagPr>
          <w:attr w:name="ProductID" w:val="48 km"/>
        </w:smartTagPr>
        <w:r w:rsidRPr="005D300B">
          <w:t>48 km</w:t>
        </w:r>
      </w:smartTag>
      <w:r w:rsidRPr="005D300B">
        <w:t>.</w:t>
      </w:r>
    </w:p>
    <w:p w:rsidR="00FB2534" w:rsidRDefault="00FB2534" w:rsidP="00670A55">
      <w:pPr>
        <w:pStyle w:val="GOMnormal"/>
      </w:pPr>
      <w:r w:rsidRPr="005D300B">
        <w:t>Sieć dróg powiatowych uzupełnia sieć dróg gminnych obsługujących bezpośrednio wszystki</w:t>
      </w:r>
      <w:r>
        <w:t>e jednostki osadnicze w gminie. D</w:t>
      </w:r>
      <w:r w:rsidRPr="005D300B">
        <w:t>rogi gminne</w:t>
      </w:r>
      <w:r>
        <w:t xml:space="preserve"> </w:t>
      </w:r>
      <w:r w:rsidRPr="005D300B">
        <w:t xml:space="preserve">zajmują </w:t>
      </w:r>
      <w:r>
        <w:t xml:space="preserve">łączną </w:t>
      </w:r>
      <w:r w:rsidRPr="005D300B">
        <w:t xml:space="preserve">długość </w:t>
      </w:r>
      <w:smartTag w:uri="urn:schemas-microsoft-com:office:smarttags" w:element="metricconverter">
        <w:smartTagPr>
          <w:attr w:name="ProductID" w:val="149,05 km"/>
        </w:smartTagPr>
        <w:r>
          <w:t>149,05</w:t>
        </w:r>
        <w:r w:rsidRPr="005D300B">
          <w:t xml:space="preserve"> </w:t>
        </w:r>
        <w:r>
          <w:t>km</w:t>
        </w:r>
      </w:smartTag>
      <w:r>
        <w:t>.</w:t>
      </w:r>
    </w:p>
    <w:p w:rsidR="00FB2534" w:rsidRPr="005D300B" w:rsidRDefault="00FB2534" w:rsidP="00670A55">
      <w:pPr>
        <w:pStyle w:val="GOMnormal"/>
      </w:pPr>
      <w:r w:rsidRPr="005D300B">
        <w:t>Przez teren gminy przechodzą wszystkie wa</w:t>
      </w:r>
      <w:r>
        <w:t>ż</w:t>
      </w:r>
      <w:r w:rsidRPr="005D300B">
        <w:t>ne linie kolejowe powiatu m</w:t>
      </w:r>
      <w:r>
        <w:t>alborskiego:</w:t>
      </w:r>
    </w:p>
    <w:p w:rsidR="00FB2534" w:rsidRDefault="00FB2534" w:rsidP="00670A55">
      <w:pPr>
        <w:pStyle w:val="GOMwypkt"/>
        <w:numPr>
          <w:ilvl w:val="0"/>
          <w:numId w:val="21"/>
        </w:numPr>
      </w:pPr>
      <w:r w:rsidRPr="005D300B">
        <w:t>Warszawa – Gdańsk</w:t>
      </w:r>
      <w:r>
        <w:t>,</w:t>
      </w:r>
      <w:r w:rsidRPr="005D300B">
        <w:t xml:space="preserve"> </w:t>
      </w:r>
    </w:p>
    <w:p w:rsidR="00FB2534" w:rsidRDefault="00FB2534" w:rsidP="00670A55">
      <w:pPr>
        <w:pStyle w:val="GOMwypkt"/>
        <w:numPr>
          <w:ilvl w:val="0"/>
          <w:numId w:val="21"/>
        </w:numPr>
      </w:pPr>
      <w:r w:rsidRPr="005D300B">
        <w:t>Gdańsk – Elbląg – Gronowo (do</w:t>
      </w:r>
      <w:r>
        <w:t xml:space="preserve"> Kaliningradu),</w:t>
      </w:r>
    </w:p>
    <w:p w:rsidR="00FB2534" w:rsidRDefault="00FB2534" w:rsidP="00670A55">
      <w:pPr>
        <w:pStyle w:val="GOMwypkt"/>
        <w:numPr>
          <w:ilvl w:val="0"/>
          <w:numId w:val="21"/>
        </w:numPr>
      </w:pPr>
      <w:r>
        <w:t>Gdańsk – Olsztyn – Białystok,</w:t>
      </w:r>
    </w:p>
    <w:p w:rsidR="00FB2534" w:rsidRDefault="00FB2534" w:rsidP="00670A55">
      <w:pPr>
        <w:pStyle w:val="GOMwypkt"/>
        <w:numPr>
          <w:ilvl w:val="0"/>
          <w:numId w:val="21"/>
        </w:numPr>
      </w:pPr>
      <w:r w:rsidRPr="005D300B">
        <w:t xml:space="preserve">Malbork – Grudziądz – Toruń. </w:t>
      </w:r>
    </w:p>
    <w:p w:rsidR="00FB2534" w:rsidRDefault="00FB2534" w:rsidP="00DF1C89">
      <w:pPr>
        <w:pStyle w:val="GOMnormal"/>
        <w:rPr>
          <w:lang w:eastAsia="ar-SA"/>
        </w:rPr>
      </w:pPr>
      <w:r>
        <w:t xml:space="preserve">Z kolei </w:t>
      </w:r>
      <w:r w:rsidRPr="005D300B">
        <w:t>infrastruktura lokalnej linii kolejowej Szymankowo – N</w:t>
      </w:r>
      <w:r>
        <w:t xml:space="preserve">owy Staw – Nowy Dwór </w:t>
      </w:r>
      <w:r w:rsidRPr="005D300B">
        <w:t xml:space="preserve">Gdański, </w:t>
      </w:r>
      <w:r>
        <w:t xml:space="preserve">nie jest </w:t>
      </w:r>
      <w:r w:rsidRPr="005D300B">
        <w:t xml:space="preserve">aktualnie </w:t>
      </w:r>
      <w:r>
        <w:t xml:space="preserve">wykorzystywana ani dla </w:t>
      </w:r>
      <w:r w:rsidRPr="005D300B">
        <w:t>ruchu pasa</w:t>
      </w:r>
      <w:r>
        <w:t>ż</w:t>
      </w:r>
      <w:r w:rsidRPr="005D300B">
        <w:t>erskiego</w:t>
      </w:r>
      <w:r>
        <w:t xml:space="preserve"> ani dla towarowego Planowana jest jej likwidacja. </w:t>
      </w:r>
    </w:p>
    <w:p w:rsidR="00FB2534" w:rsidRDefault="00FB2534" w:rsidP="00415796">
      <w:pPr>
        <w:pStyle w:val="GOMnagl3"/>
      </w:pPr>
      <w:bookmarkStart w:id="101" w:name="_Toc422133334"/>
      <w:r>
        <w:t>System elektroenergetyczny</w:t>
      </w:r>
      <w:bookmarkEnd w:id="101"/>
    </w:p>
    <w:p w:rsidR="00FB2534" w:rsidRDefault="00FB2534" w:rsidP="00670A55">
      <w:pPr>
        <w:pStyle w:val="GOMnormal"/>
      </w:pPr>
      <w:r>
        <w:t>Dystrybucję energii elektrycznej na terenie gminy prowadzi Gdańska Kompania Energetyczna „Energa” SA. – Oddział w Elblągu. Przez teren gminy przebiega tranzytem linia elektroenergetyczna 400 kV. Dwa główne punkty zasilające 110/15 kV zlokalizowane są na terenie miasta Malborka. Wprowadzone są do nich linie elektroenergetyczne 110 kV od strony Sztumu i od strony Starego Pola. Jednostki osadniczce zasilane są z sieci 15 kV wyprowadzonych z GPZ - tów. Linie te stanowią sieć rozdzielczą, która poprzez stacje transformatorowe 15/0,4 kV zasilają końcowych odbiorców energii. Stacje transformatorowe w przeważającej mierze pracują jako słupowe. Stacje murowane są przeważnie kioskowe i mają ponad 50 lat. Urządzenia w stacjach transformatorowych wymagają pilnej modernizacji.</w:t>
      </w:r>
    </w:p>
    <w:p w:rsidR="00FB2534" w:rsidRDefault="00FB2534" w:rsidP="00670A55">
      <w:pPr>
        <w:pStyle w:val="GOMnormal"/>
      </w:pPr>
      <w:r>
        <w:t>Z energii elektrycznej korzysta 100% mieszkańców. Stan zaopatrzenia w energię elektryczną nie jest w pełni zadowalający. Występują przerwy w dostawie energii i spadki napięcia. Główna tego przyczyną są duże odległości pomiędzy punktami zasilającymi i wydłużenie linii niskiego napięcia. Zgodnie z wytycznymi polityki energetycznej państwa Gdańska Kompania Energetyczna „Energa” SA przygotowuje się do gruntownej modernizacji sieci elektroenergetycznych na obszarach wiejskich. Jej realizacja powinna rozwiązać występujące problemy.</w:t>
      </w:r>
    </w:p>
    <w:p w:rsidR="00FB2534" w:rsidRDefault="00FB2534" w:rsidP="00AB7AFC">
      <w:pPr>
        <w:pStyle w:val="GOMnormal"/>
        <w:rPr>
          <w:lang w:eastAsia="ar-SA"/>
        </w:rPr>
      </w:pPr>
      <w:r>
        <w:t>Większość sieci 15 kV została wybudowana w latach 40 - tych i 50 - tych, a więc ma około 50 lat i jest wyeksploatowana mimo bieżących remontów i konserwacji. Istniejąca sieć niskiego napięcia - 0,4 kV i oświetlenie uliczne we wsiach wymaga również  przebudowy i modernizacji.</w:t>
      </w:r>
      <w:r>
        <w:rPr>
          <w:rStyle w:val="FootnoteReference"/>
        </w:rPr>
        <w:footnoteReference w:id="5"/>
      </w:r>
    </w:p>
    <w:p w:rsidR="00FB2534" w:rsidRDefault="00FB2534" w:rsidP="00415796">
      <w:pPr>
        <w:pStyle w:val="GOMnagl3"/>
      </w:pPr>
      <w:bookmarkStart w:id="102" w:name="_Toc422133335"/>
      <w:r>
        <w:t>Ilość systemów grzewczych opalanych paliwem stałym</w:t>
      </w:r>
      <w:bookmarkEnd w:id="102"/>
    </w:p>
    <w:p w:rsidR="00FB2534" w:rsidRDefault="00FB2534" w:rsidP="00990E53">
      <w:pPr>
        <w:pStyle w:val="GOMnormal"/>
        <w:rPr>
          <w:lang w:eastAsia="ar-SA"/>
        </w:rPr>
      </w:pPr>
      <w:r>
        <w:rPr>
          <w:lang w:eastAsia="ar-SA"/>
        </w:rPr>
        <w:t xml:space="preserve">Systemy grzewcze opalane paliwem stałym na terenie Gminy Wiejskiej Malbork stanowią głównie indywidualne kotły, piece domowe, często przestarzałe i nie w pełni sprawne, w których proces spalania odbywa się w sposób nieefektywny, z wykorzystaniem niskiej jakości paliwa. Spotykane są także praktyki spalania odpadów. Systemy grzewcze opalane paliwem stałym spotykane są również w lokalnych kotłowniach i obiektach użyteczności publicznej. Opisane wyżej źródła stanowią główną przyczynę powstawania niskiej emisji. </w:t>
      </w:r>
    </w:p>
    <w:p w:rsidR="00FB2534" w:rsidRDefault="00FB2534" w:rsidP="00990E53">
      <w:pPr>
        <w:pStyle w:val="GOMnormal"/>
        <w:rPr>
          <w:lang w:eastAsia="ar-SA"/>
        </w:rPr>
      </w:pPr>
      <w:r>
        <w:rPr>
          <w:lang w:eastAsia="ar-SA"/>
        </w:rPr>
        <w:t xml:space="preserve">W celu określenia ilości systemów grzewczych opalanych paliwem stałym w lokalach mieszkalnych oraz budynkach </w:t>
      </w:r>
      <w:r w:rsidRPr="00C13922">
        <w:rPr>
          <w:lang w:eastAsia="ar-SA"/>
        </w:rPr>
        <w:t xml:space="preserve">mieszkalnych na obszarze </w:t>
      </w:r>
      <w:r>
        <w:rPr>
          <w:lang w:eastAsia="ar-SA"/>
        </w:rPr>
        <w:t>gminy przyjęto następującą metodykę realizacji zadania:</w:t>
      </w:r>
    </w:p>
    <w:p w:rsidR="00FB2534" w:rsidRDefault="00FB2534" w:rsidP="00990E53">
      <w:pPr>
        <w:pStyle w:val="GOMwypkt"/>
        <w:numPr>
          <w:ilvl w:val="0"/>
          <w:numId w:val="21"/>
        </w:numPr>
      </w:pPr>
      <w:r>
        <w:t>liczbę mieszkań w gminie</w:t>
      </w:r>
      <w:r w:rsidRPr="00C13922">
        <w:t xml:space="preserve"> określono</w:t>
      </w:r>
      <w:r>
        <w:t xml:space="preserve"> na podstawie danych GUS</w:t>
      </w:r>
      <w:r>
        <w:rPr>
          <w:rStyle w:val="FootnoteReference"/>
        </w:rPr>
        <w:footnoteReference w:id="6"/>
      </w:r>
      <w:r>
        <w:t>;</w:t>
      </w:r>
    </w:p>
    <w:p w:rsidR="00FB2534" w:rsidRDefault="00FB2534" w:rsidP="00990E53">
      <w:pPr>
        <w:pStyle w:val="GOMwypkt"/>
        <w:numPr>
          <w:ilvl w:val="0"/>
          <w:numId w:val="21"/>
        </w:numPr>
      </w:pPr>
      <w:r w:rsidRPr="00C13922">
        <w:t>procentowy udział mieszkań opalanych paliwem stałym (węglem, drewnem) określono poprzez zbilansowanie mieszkań ogrzewanych</w:t>
      </w:r>
      <w:r>
        <w:t xml:space="preserve"> gazem ziemnym,</w:t>
      </w:r>
      <w:r w:rsidRPr="00C13922">
        <w:t xml:space="preserve"> olejem opałowym</w:t>
      </w:r>
      <w:r>
        <w:t xml:space="preserve"> i gazem płynnym, </w:t>
      </w:r>
      <w:r w:rsidRPr="00C13922">
        <w:t xml:space="preserve">a następnie odjęcie zbilansowanej wartości od ogólnej ilości mieszkań w </w:t>
      </w:r>
      <w:r>
        <w:t>gminie</w:t>
      </w:r>
      <w:r w:rsidRPr="00C13922">
        <w:t>;</w:t>
      </w:r>
    </w:p>
    <w:p w:rsidR="00FB2534" w:rsidRDefault="00FB2534" w:rsidP="00091390">
      <w:pPr>
        <w:pStyle w:val="GOMwypkt"/>
        <w:numPr>
          <w:ilvl w:val="0"/>
          <w:numId w:val="44"/>
        </w:numPr>
      </w:pPr>
      <w:r>
        <w:t>na podstawie badań ankietowych w wybranych obszarach wiejskich GOM określono współczynnik korygujący dla metody obliczeniowej na poziomie 0,909;</w:t>
      </w:r>
    </w:p>
    <w:p w:rsidR="00FB2534" w:rsidRPr="00C13922" w:rsidRDefault="00FB2534" w:rsidP="00091390">
      <w:pPr>
        <w:pStyle w:val="GOMwypkt"/>
        <w:numPr>
          <w:ilvl w:val="0"/>
          <w:numId w:val="21"/>
        </w:numPr>
      </w:pPr>
      <w:r>
        <w:t>na podstawie badań ankietowych ustalono, że na jeden lokal mieszkalny/budynek mieszkalny przypada średnio 1,026 kotła;</w:t>
      </w:r>
    </w:p>
    <w:p w:rsidR="00FB2534" w:rsidRPr="00C13922" w:rsidRDefault="00FB2534" w:rsidP="00990E53">
      <w:pPr>
        <w:pStyle w:val="GOMwypkt"/>
        <w:numPr>
          <w:ilvl w:val="0"/>
          <w:numId w:val="21"/>
        </w:numPr>
      </w:pPr>
      <w:r w:rsidRPr="00C13922">
        <w:t xml:space="preserve">wykorzystując powyższe dane </w:t>
      </w:r>
      <w:r>
        <w:t>oszacowano</w:t>
      </w:r>
      <w:r w:rsidRPr="00C13922">
        <w:t xml:space="preserve"> ilość systemów grzewczych opalanych paliwem stałym </w:t>
      </w:r>
      <w:r>
        <w:t>dla całej gminy, na poziomie</w:t>
      </w:r>
      <w:r w:rsidRPr="00C13922">
        <w:t xml:space="preserve"> </w:t>
      </w:r>
      <w:r>
        <w:t>1052 szt.</w:t>
      </w:r>
    </w:p>
    <w:p w:rsidR="00FB2534" w:rsidRDefault="00FB2534" w:rsidP="00AB7AFC">
      <w:pPr>
        <w:pStyle w:val="GOMnormal"/>
        <w:rPr>
          <w:lang w:eastAsia="ar-SA"/>
        </w:rPr>
      </w:pPr>
      <w:r w:rsidRPr="00C148A4">
        <w:rPr>
          <w:lang w:eastAsia="ar-SA"/>
        </w:rPr>
        <w:t>Ilości systemów grzewczych opalanych paliwem stałym określano również w budynkach użyteczności publicznej, na podstawie szczegółowych ankiet przepro</w:t>
      </w:r>
      <w:r>
        <w:rPr>
          <w:lang w:eastAsia="ar-SA"/>
        </w:rPr>
        <w:t>wadzanych wśród ich zarządców, n</w:t>
      </w:r>
      <w:r w:rsidRPr="00C148A4">
        <w:rPr>
          <w:lang w:eastAsia="ar-SA"/>
        </w:rPr>
        <w:t>ie otrzymano informacji zwrotnej.</w:t>
      </w:r>
    </w:p>
    <w:p w:rsidR="00FB2534" w:rsidRDefault="00FB2534" w:rsidP="00415796">
      <w:pPr>
        <w:pStyle w:val="GOMnagl3"/>
      </w:pPr>
      <w:bookmarkStart w:id="103" w:name="_Toc422133336"/>
      <w:r>
        <w:t>Istniejące źródła energii odnawialnej</w:t>
      </w:r>
      <w:bookmarkEnd w:id="103"/>
    </w:p>
    <w:p w:rsidR="00FB2534" w:rsidRDefault="00FB2534" w:rsidP="00AB7AFC">
      <w:pPr>
        <w:pStyle w:val="GOMnormal"/>
        <w:rPr>
          <w:lang w:eastAsia="ar-SA"/>
        </w:rPr>
      </w:pPr>
      <w:r>
        <w:rPr>
          <w:lang w:eastAsia="ar-SA"/>
        </w:rPr>
        <w:t xml:space="preserve">Na terenie gminy wykorzystywana są źródła energii odnawialnej głównie w zakresie energii wody, i energii słonecznej. Możliwości lokalizacji instalacji OZE na terenie gminy Malbork są ograniczone z uwagi na bliskie sąsiedztwo lotniska które posiada obszar ograniczonego użytkowania, jak również sąsiedztwo zamku </w:t>
      </w:r>
      <w:r w:rsidRPr="006660DD">
        <w:t>w</w:t>
      </w:r>
      <w:r>
        <w:t> </w:t>
      </w:r>
      <w:r w:rsidRPr="006660DD">
        <w:t>Malborku</w:t>
      </w:r>
      <w:r>
        <w:rPr>
          <w:lang w:eastAsia="ar-SA"/>
        </w:rPr>
        <w:t xml:space="preserve"> dla którego ustalona jest ochrona konserwatorska.  </w:t>
      </w:r>
    </w:p>
    <w:p w:rsidR="00FB2534" w:rsidRDefault="00FB2534" w:rsidP="00110F55">
      <w:pPr>
        <w:pStyle w:val="GOMnormal"/>
        <w:rPr>
          <w:lang w:eastAsia="ar-SA"/>
        </w:rPr>
      </w:pPr>
      <w:r>
        <w:rPr>
          <w:lang w:eastAsia="ar-SA"/>
        </w:rPr>
        <w:t>Elektrownie wodne na terenie gminy to:</w:t>
      </w:r>
    </w:p>
    <w:p w:rsidR="00FB2534" w:rsidRPr="00110F55" w:rsidRDefault="00FB2534" w:rsidP="002F7AC3">
      <w:pPr>
        <w:pStyle w:val="GOMnormal"/>
        <w:numPr>
          <w:ilvl w:val="0"/>
          <w:numId w:val="31"/>
        </w:numPr>
        <w:rPr>
          <w:lang w:eastAsia="ar-SA"/>
        </w:rPr>
      </w:pPr>
      <w:r w:rsidRPr="00110F55">
        <w:rPr>
          <w:lang w:eastAsia="ar-SA"/>
        </w:rPr>
        <w:t xml:space="preserve">Rakowiec – Kamienica,  właściciel: ENERGA Elektrownie Straszyn Sp. z o.o., nazwa rzeki: Nogat, km rzeki: 24 +000, wysokość piętrzenia: </w:t>
      </w:r>
      <w:smartTag w:uri="urn:schemas-microsoft-com:office:smarttags" w:element="metricconverter">
        <w:smartTagPr>
          <w:attr w:name="ProductID" w:val="2,85 m"/>
        </w:smartTagPr>
        <w:r w:rsidRPr="00110F55">
          <w:rPr>
            <w:lang w:eastAsia="ar-SA"/>
          </w:rPr>
          <w:t>2</w:t>
        </w:r>
        <w:r>
          <w:rPr>
            <w:lang w:eastAsia="ar-SA"/>
          </w:rPr>
          <w:t>,85 m</w:t>
        </w:r>
      </w:smartTag>
      <w:r>
        <w:rPr>
          <w:lang w:eastAsia="ar-SA"/>
        </w:rPr>
        <w:t>, moc 0,54 MW,</w:t>
      </w:r>
    </w:p>
    <w:p w:rsidR="00FB2534" w:rsidRPr="00110F55" w:rsidRDefault="00FB2534" w:rsidP="002F7AC3">
      <w:pPr>
        <w:pStyle w:val="GOMnormal"/>
        <w:numPr>
          <w:ilvl w:val="0"/>
          <w:numId w:val="31"/>
        </w:numPr>
        <w:rPr>
          <w:lang w:eastAsia="ar-SA"/>
        </w:rPr>
      </w:pPr>
      <w:r w:rsidRPr="00110F55">
        <w:rPr>
          <w:lang w:eastAsia="ar-SA"/>
        </w:rPr>
        <w:t xml:space="preserve">„MEW Szonowo” – Kraśniewo, właściciel: Rejonowy Zarząd Gospodarki Wodnej w Gdańsku nazwa rzeki: Nogat, km rzeki: 14 + 500, wysokość piętrzenia: </w:t>
      </w:r>
      <w:smartTag w:uri="urn:schemas-microsoft-com:office:smarttags" w:element="metricconverter">
        <w:smartTagPr>
          <w:attr w:name="ProductID" w:val="2,1 m"/>
        </w:smartTagPr>
        <w:r w:rsidRPr="00110F55">
          <w:rPr>
            <w:lang w:eastAsia="ar-SA"/>
          </w:rPr>
          <w:t>2,1 m</w:t>
        </w:r>
      </w:smartTag>
      <w:r w:rsidRPr="00110F55">
        <w:rPr>
          <w:lang w:eastAsia="ar-SA"/>
        </w:rPr>
        <w:t>, moc 0,5 MW</w:t>
      </w:r>
      <w:r>
        <w:rPr>
          <w:lang w:eastAsia="ar-SA"/>
        </w:rPr>
        <w:t>.</w:t>
      </w:r>
    </w:p>
    <w:p w:rsidR="00FB2534" w:rsidRDefault="00FB2534" w:rsidP="00AB7AFC">
      <w:pPr>
        <w:pStyle w:val="GOMnormal"/>
        <w:rPr>
          <w:lang w:eastAsia="ar-SA"/>
        </w:rPr>
      </w:pPr>
      <w:r>
        <w:rPr>
          <w:lang w:eastAsia="ar-SA"/>
        </w:rPr>
        <w:t>Kolektory słoneczne występują na budynkach mieszkalnych w zabudowie indywidualnej.</w:t>
      </w:r>
    </w:p>
    <w:p w:rsidR="00FB2534" w:rsidRPr="00AB7AFC" w:rsidRDefault="00FB2534" w:rsidP="00AB7AFC">
      <w:pPr>
        <w:pStyle w:val="GOMnormal"/>
        <w:rPr>
          <w:lang w:eastAsia="ar-SA"/>
        </w:rPr>
      </w:pPr>
      <w:r>
        <w:rPr>
          <w:lang w:eastAsia="ar-SA"/>
        </w:rPr>
        <w:t xml:space="preserve">Biogazownia rolnicza o mocy 800 kW w Tragaminie. </w:t>
      </w:r>
    </w:p>
    <w:p w:rsidR="00FB2534" w:rsidRPr="006A49C0" w:rsidRDefault="00FB2534" w:rsidP="00FF7A35">
      <w:pPr>
        <w:pStyle w:val="GOMnagl2"/>
        <w:ind w:left="720"/>
      </w:pPr>
      <w:bookmarkStart w:id="104" w:name="_Toc422133337"/>
      <w:r>
        <w:t>Ocena stanu środowiska na terenie Gminy Wiejskiej Malbork</w:t>
      </w:r>
      <w:bookmarkEnd w:id="104"/>
    </w:p>
    <w:p w:rsidR="00FB2534" w:rsidRDefault="00FB2534" w:rsidP="00670A55">
      <w:pPr>
        <w:pStyle w:val="GOMwyr"/>
      </w:pPr>
      <w:r>
        <w:t>Jakość powietrza</w:t>
      </w:r>
    </w:p>
    <w:p w:rsidR="00FB2534" w:rsidRPr="00C0053E" w:rsidRDefault="00FB2534" w:rsidP="00670A55">
      <w:pPr>
        <w:pStyle w:val="GOMnormal"/>
        <w:rPr>
          <w:strike/>
        </w:rPr>
      </w:pPr>
      <w:r w:rsidRPr="00DA7A63">
        <w:t>Dla celów oceny jakości powietrza województwo pomorskie zostało podzielone na 2 strefy</w:t>
      </w:r>
      <w:r>
        <w:t xml:space="preserve">: </w:t>
      </w:r>
      <w:r w:rsidRPr="00DA7A63">
        <w:t xml:space="preserve">aglomerację trójmiejską PL2201 i strefę pomorską PL2202. </w:t>
      </w:r>
      <w:r w:rsidRPr="00A90451">
        <w:t xml:space="preserve">Gmina </w:t>
      </w:r>
      <w:r>
        <w:t>Malbork</w:t>
      </w:r>
      <w:r w:rsidRPr="00A90451">
        <w:t xml:space="preserve"> znajduje się w strefie pomorskiej.</w:t>
      </w:r>
      <w:r>
        <w:t xml:space="preserve"> Na terenie Gminy nie prowadzi się badań monitoringowych jakości powietrza.</w:t>
      </w:r>
    </w:p>
    <w:p w:rsidR="00FB2534" w:rsidRDefault="00FB2534" w:rsidP="00670A55">
      <w:pPr>
        <w:pStyle w:val="GOMnormal"/>
      </w:pPr>
      <w:r w:rsidRPr="005A0005">
        <w:t>Zgodnie z oceną jakości powietrza za rok 2013</w:t>
      </w:r>
      <w:r w:rsidRPr="005A0005">
        <w:rPr>
          <w:vertAlign w:val="superscript"/>
        </w:rPr>
        <w:footnoteReference w:id="7"/>
      </w:r>
      <w:r w:rsidRPr="005A0005">
        <w:t>, wykonaną w strefach województwa pomorskiego, strefa pomorska została zaliczona do klasy C – stref, w których wystąpiły przekroczenia poziomu dopuszczalnego substancji w powietrzu. Również kolejna ocena jakości powietrza, za rok 2014</w:t>
      </w:r>
      <w:r w:rsidRPr="005A0005">
        <w:rPr>
          <w:rStyle w:val="FootnoteReference"/>
          <w:sz w:val="22"/>
          <w:szCs w:val="22"/>
        </w:rPr>
        <w:footnoteReference w:id="8"/>
      </w:r>
      <w:r w:rsidRPr="005A0005">
        <w:t>, nie wykazała zmian w tym zakresie.</w:t>
      </w:r>
    </w:p>
    <w:p w:rsidR="00FB2534" w:rsidRPr="00DA7A63" w:rsidRDefault="00FB2534" w:rsidP="00670A55">
      <w:pPr>
        <w:pStyle w:val="GOMnormal"/>
      </w:pPr>
      <w:r>
        <w:t xml:space="preserve">Największe problemy odnotowane w </w:t>
      </w:r>
      <w:r w:rsidRPr="00DA7A63">
        <w:t>ocen</w:t>
      </w:r>
      <w:r>
        <w:t>ie</w:t>
      </w:r>
      <w:r w:rsidRPr="00DA7A63">
        <w:t xml:space="preserve"> jakości powietrza za rok 2013 </w:t>
      </w:r>
      <w:r>
        <w:t>na terenie strefy pomorskiej to</w:t>
      </w:r>
      <w:r w:rsidRPr="00DA7A63">
        <w:t>:</w:t>
      </w:r>
    </w:p>
    <w:p w:rsidR="00FB2534" w:rsidRPr="007D27C7" w:rsidRDefault="00FB2534" w:rsidP="00670A55">
      <w:pPr>
        <w:pStyle w:val="GOMwypkt"/>
        <w:numPr>
          <w:ilvl w:val="0"/>
          <w:numId w:val="21"/>
        </w:numPr>
      </w:pPr>
      <w:r w:rsidRPr="007D27C7">
        <w:t>przekroczenia dopuszczalnej liczby przekroczeń normy średniodobowej pyłu zawieszonego PM10</w:t>
      </w:r>
      <w:r>
        <w:t>,</w:t>
      </w:r>
      <w:r w:rsidRPr="007D27C7">
        <w:t xml:space="preserve"> </w:t>
      </w:r>
      <w:r>
        <w:t xml:space="preserve">normy średniorocznej </w:t>
      </w:r>
      <w:r w:rsidRPr="007D27C7">
        <w:t xml:space="preserve">pyłu zawieszonego PM2,5 oraz poziomu docelowego benzo(a)pirenu </w:t>
      </w:r>
      <w:r w:rsidRPr="007D27C7">
        <w:rPr>
          <w:b/>
        </w:rPr>
        <w:t>– klasa strefy C</w:t>
      </w:r>
      <w:r w:rsidRPr="007D27C7">
        <w:t>,</w:t>
      </w:r>
    </w:p>
    <w:p w:rsidR="00FB2534" w:rsidRDefault="00FB2534" w:rsidP="00670A55">
      <w:pPr>
        <w:pStyle w:val="GOMwypkt"/>
        <w:numPr>
          <w:ilvl w:val="0"/>
          <w:numId w:val="21"/>
        </w:numPr>
      </w:pPr>
      <w:r>
        <w:t xml:space="preserve">przekroczony poziom celu długoterminowego dla ozonu (2020 r.) w odniesieniu do kryterium ochrony zdrowia i kryterium ochrony roślin </w:t>
      </w:r>
      <w:r w:rsidRPr="007D27C7">
        <w:rPr>
          <w:b/>
        </w:rPr>
        <w:t>– klasa strefy D2</w:t>
      </w:r>
      <w:r>
        <w:rPr>
          <w:b/>
        </w:rPr>
        <w:t>.</w:t>
      </w:r>
    </w:p>
    <w:p w:rsidR="00FB2534" w:rsidRDefault="00FB2534" w:rsidP="00670A55">
      <w:pPr>
        <w:pStyle w:val="GOMnormal"/>
      </w:pPr>
      <w:r w:rsidRPr="00BE6957">
        <w:t>Ze względu na poziom</w:t>
      </w:r>
      <w:r>
        <w:t>y</w:t>
      </w:r>
      <w:r w:rsidRPr="00BE6957">
        <w:t xml:space="preserve"> stężeń pozostałych substancji: dwutlenku siarki, dwutlenku azotu, tlenku węgla, benzenu, arsenu, niklu, kadmu, ołowiu – strefę pomorską zaklasyfikowano </w:t>
      </w:r>
      <w:r w:rsidRPr="00DF6915">
        <w:rPr>
          <w:b/>
        </w:rPr>
        <w:t>do klasy A</w:t>
      </w:r>
      <w:r w:rsidRPr="00BE6957">
        <w:t xml:space="preserve"> – co oznacza że, nie stwierdzono przekroczeń poziomów normatywnych tych substancji</w:t>
      </w:r>
      <w:r>
        <w:t>.</w:t>
      </w:r>
    </w:p>
    <w:p w:rsidR="00FB2534" w:rsidRPr="00BE6957" w:rsidRDefault="00FB2534" w:rsidP="00670A55">
      <w:pPr>
        <w:pStyle w:val="GOMnormal"/>
      </w:pPr>
      <w:r>
        <w:t>Analogiczne problemy odnotowano w ramach oceny jakości powietrza za rok 2014, gdzie dodatkowo stwierdzono przekroczenia normy średniorocznej dla pyłu zawieszonego PM10.</w:t>
      </w:r>
    </w:p>
    <w:p w:rsidR="00FB2534" w:rsidRPr="00DC7746" w:rsidRDefault="00FB2534" w:rsidP="00670A55">
      <w:pPr>
        <w:pStyle w:val="GOMnormal"/>
      </w:pPr>
      <w:r>
        <w:t xml:space="preserve">Za występowanie przekroczeń ww. substancji w powietrzu w głównej mierze odpowiedzialna jest tzw. niska emisja pochodząca z sektora bytowo-komunalnego, obejmującego zarówno indywidualne źródła grzewcze (paleniska domowe), jak również małe ciepłownie komunalne, a także transport. </w:t>
      </w:r>
    </w:p>
    <w:p w:rsidR="00FB2534" w:rsidRDefault="00FB2534" w:rsidP="00670A55">
      <w:pPr>
        <w:pStyle w:val="GOMnormal"/>
      </w:pPr>
      <w:bookmarkStart w:id="105" w:name="_Toc371591763"/>
      <w:r w:rsidRPr="00D93908">
        <w:t xml:space="preserve">Na terenie </w:t>
      </w:r>
      <w:r>
        <w:t xml:space="preserve">gminy Malbork nie ma stacji monitoringu jakości powietrza. Najbliższa stacja zlokalizowana jest na terenie miasta Malbork, ale nie jest ona reprezentatywna dla obszarów pozamiejskich. W celu oceny jakości powietrza na obszarach gdzie nie prowadzi się monitoringu jakości powietrza można wykorzystywać wyniki matematycznego modelowania rozkładu stężeń zanieczyszczeń. Wyniki takich obliczeń zostały wykorzystane w „Rocznej ocenie jakości powietrza województwa pomorskiego w 2012 r.” </w:t>
      </w:r>
      <w:r>
        <w:rPr>
          <w:rStyle w:val="FootnoteReference"/>
        </w:rPr>
        <w:footnoteReference w:id="9"/>
      </w:r>
      <w:r>
        <w:t xml:space="preserve"> opracowanej przez WIOŚ w Gdańsku. </w:t>
      </w:r>
    </w:p>
    <w:p w:rsidR="00FB2534" w:rsidRDefault="00FB2534" w:rsidP="00670A55">
      <w:pPr>
        <w:pStyle w:val="GOMnormal"/>
      </w:pPr>
      <w:r>
        <w:t>Podobna ocena została wykonana w ramach „Programu ochrony powietrza opracowanego dla strefy pomorskiej”</w:t>
      </w:r>
      <w:r>
        <w:rPr>
          <w:rStyle w:val="FootnoteReference"/>
        </w:rPr>
        <w:footnoteReference w:id="10"/>
      </w:r>
      <w:r>
        <w:t xml:space="preserve"> na bazie danych za 2011 r.</w:t>
      </w:r>
    </w:p>
    <w:p w:rsidR="00FB2534" w:rsidRDefault="00FB2534" w:rsidP="00670A55">
      <w:pPr>
        <w:pStyle w:val="GOMnormal"/>
      </w:pPr>
      <w:r>
        <w:t xml:space="preserve">Wyniki ww. ocen wskazują, że </w:t>
      </w:r>
      <w:r w:rsidRPr="00F668CC">
        <w:rPr>
          <w:b/>
        </w:rPr>
        <w:t xml:space="preserve">na obszarze </w:t>
      </w:r>
      <w:r>
        <w:rPr>
          <w:b/>
        </w:rPr>
        <w:t>gminy Malbork</w:t>
      </w:r>
      <w:r w:rsidRPr="00F668CC">
        <w:rPr>
          <w:b/>
        </w:rPr>
        <w:t xml:space="preserve"> nie ma problemu przekroczeń poziomów dopuszczalnych i docelowych w powietrzu. Jakość powietrza jest dobra – zatem głównym celem działań w zakresie ochrony powietrza na terenie Gminy jest utrzymanie dobrej jakości powietrza</w:t>
      </w:r>
      <w:r>
        <w:t>.</w:t>
      </w:r>
    </w:p>
    <w:p w:rsidR="00FB2534" w:rsidRDefault="00FB2534" w:rsidP="00FA795B">
      <w:pPr>
        <w:pStyle w:val="GOMnormal"/>
        <w:keepNext/>
      </w:pPr>
      <w:r>
        <w:rPr>
          <w:noProof/>
        </w:rPr>
        <w:pict>
          <v:shape id="_x0000_i1028" type="#_x0000_t75" style="width:429pt;height:306pt;visibility:visible">
            <v:imagedata r:id="rId17" o:title=""/>
          </v:shape>
        </w:pict>
      </w:r>
    </w:p>
    <w:p w:rsidR="00FB2534" w:rsidRDefault="00FB2534" w:rsidP="00FA795B">
      <w:pPr>
        <w:pStyle w:val="GOMpodpistab"/>
      </w:pPr>
      <w:bookmarkStart w:id="106" w:name="_Toc422133275"/>
      <w:r>
        <w:t xml:space="preserve">Rysunek </w:t>
      </w:r>
      <w:r>
        <w:fldChar w:fldCharType="begin"/>
      </w:r>
      <w:r>
        <w:instrText xml:space="preserve"> SEQ Rysunek \* ARABIC </w:instrText>
      </w:r>
      <w:r>
        <w:fldChar w:fldCharType="separate"/>
      </w:r>
      <w:r>
        <w:rPr>
          <w:noProof/>
        </w:rPr>
        <w:t>2</w:t>
      </w:r>
      <w:r>
        <w:fldChar w:fldCharType="end"/>
      </w:r>
      <w:r>
        <w:t xml:space="preserve"> </w:t>
      </w:r>
      <w:r w:rsidRPr="00571A2E">
        <w:t xml:space="preserve">Rozkład stężeń średniorocznych benzo(a)pirenu na terenie </w:t>
      </w:r>
      <w:r>
        <w:t xml:space="preserve">gminy Malbork </w:t>
      </w:r>
      <w:r w:rsidRPr="00571A2E">
        <w:t>w roku bazowym 2011 (źródło: opracowanie własne na podstawie POP dla strefy pomorskiej)</w:t>
      </w:r>
      <w:bookmarkEnd w:id="106"/>
    </w:p>
    <w:p w:rsidR="00FB2534" w:rsidRPr="00AE6BC4" w:rsidRDefault="00FB2534" w:rsidP="00670A55">
      <w:pPr>
        <w:pStyle w:val="GOMnormal"/>
      </w:pPr>
      <w:r>
        <w:t>Głównymi</w:t>
      </w:r>
      <w:r w:rsidRPr="00AE6BC4">
        <w:t xml:space="preserve"> źródła</w:t>
      </w:r>
      <w:r>
        <w:t>mi</w:t>
      </w:r>
      <w:r w:rsidRPr="00AE6BC4">
        <w:t xml:space="preserve"> emisji zanieczyszczeń do </w:t>
      </w:r>
      <w:r>
        <w:t>powietrza</w:t>
      </w:r>
      <w:r w:rsidRPr="00AE6BC4">
        <w:t xml:space="preserve"> </w:t>
      </w:r>
      <w:r>
        <w:t>na terenie gminy Malbork, które lokalnie mogą powodować podwyższone stężenia zanieczyszczeń w powietrzu są</w:t>
      </w:r>
      <w:r w:rsidRPr="00AE6BC4">
        <w:t xml:space="preserve">: </w:t>
      </w:r>
    </w:p>
    <w:p w:rsidR="00FB2534" w:rsidRPr="00AE6BC4" w:rsidRDefault="00FB2534" w:rsidP="00670A55">
      <w:pPr>
        <w:pStyle w:val="GOMwypkt"/>
        <w:numPr>
          <w:ilvl w:val="0"/>
          <w:numId w:val="21"/>
        </w:numPr>
      </w:pPr>
      <w:r w:rsidRPr="00DA7A63">
        <w:t>indywidualn</w:t>
      </w:r>
      <w:r>
        <w:t>e</w:t>
      </w:r>
      <w:r w:rsidRPr="00DA7A63">
        <w:t xml:space="preserve"> system</w:t>
      </w:r>
      <w:r>
        <w:t>y</w:t>
      </w:r>
      <w:r w:rsidRPr="00DA7A63">
        <w:t xml:space="preserve"> grzewcz</w:t>
      </w:r>
      <w:r>
        <w:t>e</w:t>
      </w:r>
      <w:r w:rsidRPr="00DA7A63">
        <w:t xml:space="preserve"> małej mocy</w:t>
      </w:r>
      <w:r>
        <w:t xml:space="preserve"> – małe kotłownie przydomowe (ogrzewające jedno lub kilka mieszkań), paleniska domowe (</w:t>
      </w:r>
      <w:r w:rsidRPr="00DA7A63">
        <w:t>piece węglowe ceramiczne oraz węglowe trzony kuchenne</w:t>
      </w:r>
      <w:r>
        <w:t>),</w:t>
      </w:r>
      <w:r w:rsidRPr="00F668CC">
        <w:t xml:space="preserve"> </w:t>
      </w:r>
      <w:r w:rsidRPr="00DA7A63">
        <w:t xml:space="preserve">niewielkie kotłownie do 1 MW dostarczające ciepło do lokali usługowych lub warsztatów, </w:t>
      </w:r>
      <w:r w:rsidRPr="00D30FB3">
        <w:t>czyli szeroko pojęty sektor bytowo-komunalny</w:t>
      </w:r>
      <w:r>
        <w:t xml:space="preserve"> – główne źródło emisji benzo(a)pirenu, pyłu zawieszonego PM10,</w:t>
      </w:r>
    </w:p>
    <w:p w:rsidR="00FB2534" w:rsidRDefault="00FB2534" w:rsidP="00670A55">
      <w:pPr>
        <w:pStyle w:val="GOMwypkt"/>
        <w:numPr>
          <w:ilvl w:val="0"/>
          <w:numId w:val="21"/>
        </w:numPr>
      </w:pPr>
      <w:r w:rsidRPr="00AE6BC4">
        <w:t xml:space="preserve">zanieczyszczenia komunikacyjne </w:t>
      </w:r>
      <w:r>
        <w:t xml:space="preserve">– </w:t>
      </w:r>
      <w:r w:rsidRPr="00AE6BC4">
        <w:t xml:space="preserve">emisja wzdłuż ciągów komunikacji samochodowej </w:t>
      </w:r>
      <w:r>
        <w:t>szczególnie uciążliwa na obszarach zwartej zabudowy.</w:t>
      </w:r>
    </w:p>
    <w:p w:rsidR="00FB2534" w:rsidRPr="00367251" w:rsidRDefault="00FB2534" w:rsidP="00670A55">
      <w:pPr>
        <w:pStyle w:val="GOMnormal"/>
      </w:pPr>
      <w:r>
        <w:t xml:space="preserve">W celu ograniczenia ryzyka występowania ponadnormatywnych stężeń zanieczyszczeń w powietrzu, głównie powszechnie przekraczanego w Polsce benzo(a)pirenu, </w:t>
      </w:r>
      <w:r w:rsidRPr="00B22622">
        <w:t>powinn</w:t>
      </w:r>
      <w:r>
        <w:t>y</w:t>
      </w:r>
      <w:r w:rsidRPr="00B22622">
        <w:t xml:space="preserve"> być </w:t>
      </w:r>
      <w:r>
        <w:t>realizowane działania mające na celu</w:t>
      </w:r>
      <w:r w:rsidRPr="00B22622">
        <w:t xml:space="preserve"> emisja</w:t>
      </w:r>
      <w:r>
        <w:t xml:space="preserve"> zanieczyszczeń</w:t>
      </w:r>
      <w:r w:rsidRPr="00B22622">
        <w:t xml:space="preserve"> z indywidualnych systemów grzewczych, m.in.  poprzez ograniczanie zużycia energii (termomodernizacje) oraz zwiększenie udziału odnawialnych źródeł en</w:t>
      </w:r>
      <w:r w:rsidRPr="00D50F2E">
        <w:t xml:space="preserve">ergii w ogólnym bilansie produkcji energii. </w:t>
      </w:r>
      <w:r>
        <w:t>Alternatywą</w:t>
      </w:r>
      <w:r w:rsidRPr="00DA7A63">
        <w:t xml:space="preserve"> dla indywidualnych </w:t>
      </w:r>
      <w:r>
        <w:t xml:space="preserve">mało efektywnych </w:t>
      </w:r>
      <w:r w:rsidRPr="00DA7A63">
        <w:t xml:space="preserve">palenisk węglowych powinno być wymiana paleniska </w:t>
      </w:r>
      <w:r>
        <w:t xml:space="preserve">na niskoemisyjne: nowoczesny kocioł węglowy, </w:t>
      </w:r>
      <w:r w:rsidRPr="00DA7A63">
        <w:t>kocioł gazowy lub zastosowanie ogrzewania elektrycznego</w:t>
      </w:r>
      <w:r>
        <w:t>.</w:t>
      </w:r>
    </w:p>
    <w:p w:rsidR="00FB2534" w:rsidRPr="00C915BE" w:rsidRDefault="00FB2534" w:rsidP="00670A55">
      <w:pPr>
        <w:pStyle w:val="GOMwyr"/>
      </w:pPr>
      <w:bookmarkStart w:id="107" w:name="_Toc412201393"/>
      <w:bookmarkEnd w:id="105"/>
      <w:r w:rsidRPr="00C915BE">
        <w:t>Odpady i zasoby</w:t>
      </w:r>
      <w:bookmarkEnd w:id="107"/>
    </w:p>
    <w:p w:rsidR="00FB2534" w:rsidRPr="00E23E2A" w:rsidRDefault="00FB2534" w:rsidP="00670A55">
      <w:pPr>
        <w:pStyle w:val="GOMnormal"/>
      </w:pPr>
      <w:r w:rsidRPr="00E23E2A">
        <w:t>Dnia 1 stycznia 2012 r. weszła w życie znowelizowana ustawa o utrzymaniu czystości i porządku w</w:t>
      </w:r>
      <w:r>
        <w:t> </w:t>
      </w:r>
      <w:r w:rsidRPr="00E23E2A">
        <w:t xml:space="preserve">gminach. Zasadniczą zmianą wprowadzoną przez ustawę było przekazanie własności nad odpadami komunalnymi samorządom gminnym, a wraz z nią nałożenie na gminy wielu nowych zadań i obowiązków. Od 2012 r. zadaniem gmin jest decyzyjność, odpowiedzialność i finansowanie systemu gospodarki odpadami komunalnymi. Zgodnie z zapisami ww. ustawy na gminy został m.in. nałożony obowiązek objęcia wszystkich właścicieli nieruchomości systemem gospodarowania odpadami komunalnymi, wprowadzenia systemu selektywnego zbierania odpadów komunalnych, budowy punktów selektywnego zbierania odpadów komunalnych (PSZOK), osiągnięcia odpowiednich poziomów recyklingu, przygotowania do ponownego użycia i odzysku innymi metodami oraz ograniczenia masy odpadów komunalnych ulegających biodegradacji przekazywanych do składowania, prowadzenia działań informacyjnych i edukacyjnych w zakresie prawidłowego gospodarowania odpadami komunalnymi, nadzorowania funkcjonującego systemu gospodarowania odpadami komunalnymi. </w:t>
      </w:r>
    </w:p>
    <w:p w:rsidR="00FB2534" w:rsidRPr="00E23E2A" w:rsidRDefault="00FB2534" w:rsidP="00670A55">
      <w:pPr>
        <w:pStyle w:val="GOMnormal"/>
      </w:pPr>
      <w:r w:rsidRPr="00AD27BC">
        <w:t>Według danych Głównego Urzędu Statystycznego na terenie gminy Malbork w 2013 r. zebrano 928,1 Mg odpadów komunalnych, w tym 739,8 Mg z gospodarstw domowych</w:t>
      </w:r>
      <w:r>
        <w:t>.</w:t>
      </w:r>
      <w:r w:rsidRPr="00AD27BC">
        <w:rPr>
          <w:vertAlign w:val="superscript"/>
        </w:rPr>
        <w:footnoteReference w:id="11"/>
      </w:r>
      <w:r w:rsidRPr="00AD27BC">
        <w:t xml:space="preserve"> W latach 2005-2013 masa zebranych zmieszanych odpadów komunalnych wykazywała tendencję wzrostową.</w:t>
      </w:r>
    </w:p>
    <w:p w:rsidR="00FB2534" w:rsidRDefault="00FB2534" w:rsidP="00793391">
      <w:pPr>
        <w:pStyle w:val="GOMwypkt"/>
        <w:keepNext/>
        <w:numPr>
          <w:ilvl w:val="0"/>
          <w:numId w:val="0"/>
        </w:numPr>
        <w:jc w:val="center"/>
      </w:pPr>
      <w:r>
        <w:rPr>
          <w:noProof/>
        </w:rPr>
        <w:pict>
          <v:shape id="Wykres 1" o:spid="_x0000_i1029" type="#_x0000_t75" style="width:355.5pt;height:174pt;visibility:visible">
            <v:imagedata r:id="rId18" o:title=""/>
            <o:lock v:ext="edit" aspectratio="f"/>
          </v:shape>
        </w:pict>
      </w:r>
    </w:p>
    <w:p w:rsidR="00FB2534" w:rsidRDefault="00FB2534" w:rsidP="00793391">
      <w:pPr>
        <w:pStyle w:val="Caption"/>
      </w:pPr>
      <w:bookmarkStart w:id="108" w:name="_Toc422133276"/>
      <w:r>
        <w:t xml:space="preserve">Rysunek </w:t>
      </w:r>
      <w:r>
        <w:fldChar w:fldCharType="begin"/>
      </w:r>
      <w:r>
        <w:instrText xml:space="preserve"> SEQ Rysunek \* ARABIC </w:instrText>
      </w:r>
      <w:r>
        <w:fldChar w:fldCharType="separate"/>
      </w:r>
      <w:r>
        <w:rPr>
          <w:noProof/>
        </w:rPr>
        <w:t>3</w:t>
      </w:r>
      <w:r>
        <w:fldChar w:fldCharType="end"/>
      </w:r>
      <w:r>
        <w:t xml:space="preserve">. </w:t>
      </w:r>
      <w:r w:rsidRPr="00781D3D">
        <w:t>Masa zebranych odpadów komunalnych w latach 2005-2013 (źródło: GUS 2013r.)</w:t>
      </w:r>
      <w:bookmarkEnd w:id="108"/>
    </w:p>
    <w:p w:rsidR="00FB2534" w:rsidRDefault="00FB2534" w:rsidP="00670A55">
      <w:pPr>
        <w:pStyle w:val="GOMnormal"/>
      </w:pPr>
      <w:r>
        <w:t>Punkt selektywnej zbiórki odpadów komunalnych (PSZOK), z którego mogą korzystać mieszkańcy Gminy zlokalizowany jest przy Zakładzie Gospodarki Komunalnej i Mieszkaniowej w Malborku na ul. Gen de Gaulle’a 70 w ramach zadań powierzonych zgodnie z ogłoszonym przetargiem na odbiór odpadów komunalnych od mieszkańców nieruchomości zamieszkałych. Do PSZOK mieszkańcy mogą dostarczać odpady tj. papier, szkło, tworzywa sztuczne, odpady ulegające biodegradacji, przeterminowane leki i chemikalia, zużyte baterie i akumulatory, zużyty sprzęt elektryczny i elektroniczny, odpady wielkogabarytowe, zużyte opony, akumulatory, odpady budowlano rozbiórkowe.</w:t>
      </w:r>
    </w:p>
    <w:p w:rsidR="00FB2534" w:rsidRDefault="00FB2534" w:rsidP="00670A55">
      <w:pPr>
        <w:pStyle w:val="GOMnormal"/>
        <w:keepNext/>
      </w:pPr>
      <w:r>
        <w:t>W 2013 r. zostały osiągnięte następujące  poziomy ograniczenia odpadów komunalnych</w:t>
      </w:r>
      <w:r>
        <w:rPr>
          <w:rStyle w:val="FootnoteReference"/>
        </w:rPr>
        <w:footnoteReference w:id="12"/>
      </w:r>
      <w:r>
        <w:t>:</w:t>
      </w:r>
    </w:p>
    <w:p w:rsidR="00FB2534" w:rsidRDefault="00FB2534" w:rsidP="00670A55">
      <w:pPr>
        <w:pStyle w:val="GOMwypkt"/>
        <w:numPr>
          <w:ilvl w:val="0"/>
          <w:numId w:val="21"/>
        </w:numPr>
      </w:pPr>
      <w:r>
        <w:t xml:space="preserve">poziom </w:t>
      </w:r>
      <w:r w:rsidRPr="00DD7E06">
        <w:t>ograniczenia odpadów komunalnych ulegających biodegradacji kierowanych do</w:t>
      </w:r>
      <w:r>
        <w:t> </w:t>
      </w:r>
      <w:r w:rsidRPr="00DD7E06">
        <w:t>składowania wynosił 120,2%,</w:t>
      </w:r>
      <w:r>
        <w:t xml:space="preserve"> </w:t>
      </w:r>
    </w:p>
    <w:p w:rsidR="00FB2534" w:rsidRDefault="00FB2534" w:rsidP="00670A55">
      <w:pPr>
        <w:pStyle w:val="GOMwypkt"/>
        <w:numPr>
          <w:ilvl w:val="0"/>
          <w:numId w:val="21"/>
        </w:numPr>
      </w:pPr>
      <w:r>
        <w:t xml:space="preserve">poziom recyklingu przygotowania do ponownego użycia następujących frakcji odpadów komunalnych: papieru, metali, tworzyw sztucznych i szkła wynosił 21,7% (poziom wymagany &gt;12%), </w:t>
      </w:r>
    </w:p>
    <w:p w:rsidR="00FB2534" w:rsidRPr="00D23DBE" w:rsidRDefault="00FB2534" w:rsidP="00670A55">
      <w:pPr>
        <w:pStyle w:val="GOMwypkt"/>
        <w:numPr>
          <w:ilvl w:val="0"/>
          <w:numId w:val="21"/>
        </w:numPr>
      </w:pPr>
      <w:r>
        <w:t>poziom recyklingu, przygotowania do ponownego użycia i odzysku innymi metodami innych niż niebezpieczne odpadów budowlanych i rozbiórkowych wynosił 63,10% (poziom wymagany &gt;36%).</w:t>
      </w:r>
    </w:p>
    <w:p w:rsidR="00FB2534" w:rsidRDefault="00FB2534" w:rsidP="00670A55">
      <w:pPr>
        <w:pStyle w:val="GOMnormal"/>
      </w:pPr>
      <w:r>
        <w:t xml:space="preserve">Gmina została zaliczona </w:t>
      </w:r>
      <w:r w:rsidRPr="000B32F5">
        <w:t>do Regionu Wschodniego gospodarki odpadami w województwie pomorskim.</w:t>
      </w:r>
      <w:r>
        <w:t xml:space="preserve"> </w:t>
      </w:r>
      <w:r w:rsidRPr="000B32F5">
        <w:t xml:space="preserve">Odpady komunalne wytworzone na terenie </w:t>
      </w:r>
      <w:r>
        <w:t>gminy Malbork</w:t>
      </w:r>
      <w:r w:rsidRPr="000B32F5">
        <w:t xml:space="preserve"> </w:t>
      </w:r>
      <w:r>
        <w:t>są</w:t>
      </w:r>
      <w:r w:rsidRPr="000B32F5">
        <w:t xml:space="preserve"> zagospodarowywane i przetwarzane w</w:t>
      </w:r>
      <w:r>
        <w:t> </w:t>
      </w:r>
      <w:r w:rsidRPr="000B32F5">
        <w:t>instalacjach regionalnych lub zastępczych zlokalizowanych na obszarze Regionu Wschodniego.</w:t>
      </w:r>
    </w:p>
    <w:p w:rsidR="00FB2534" w:rsidRDefault="00FB2534" w:rsidP="00670A55">
      <w:pPr>
        <w:pStyle w:val="GOMnormal"/>
      </w:pPr>
      <w:r w:rsidRPr="000B32F5">
        <w:t xml:space="preserve">Region wschodni obsługiwany </w:t>
      </w:r>
      <w:r>
        <w:t>jest</w:t>
      </w:r>
      <w:r w:rsidRPr="000B32F5">
        <w:t xml:space="preserve"> przez 2 instalacje regionalne: RIPOK Gilwa Mała </w:t>
      </w:r>
      <w:r>
        <w:t>oraz RIPOK Tczew.</w:t>
      </w:r>
      <w:r w:rsidRPr="000B32F5">
        <w:t xml:space="preserve"> </w:t>
      </w:r>
      <w:r>
        <w:t>W </w:t>
      </w:r>
      <w:r w:rsidRPr="00316038">
        <w:t>każdej z regionaln</w:t>
      </w:r>
      <w:r>
        <w:t>ych</w:t>
      </w:r>
      <w:r w:rsidRPr="00316038">
        <w:t xml:space="preserve"> instalacji przetwarzania odpadów komunalnych obok instalacji MBP </w:t>
      </w:r>
      <w:r>
        <w:t xml:space="preserve">(mechaniczno-biologiczne przetwarzanie) </w:t>
      </w:r>
      <w:r w:rsidRPr="00316038">
        <w:t>funkcjonują również instalacje do zagospodarowania selektywnie zbieranych odpadów zielonych i inn</w:t>
      </w:r>
      <w:r>
        <w:t xml:space="preserve">ych bioodpadów. </w:t>
      </w:r>
      <w:r w:rsidRPr="00F37BBA">
        <w:t>W skład regionalnych instalacji do</w:t>
      </w:r>
      <w:r>
        <w:t> </w:t>
      </w:r>
      <w:r w:rsidRPr="00F37BBA">
        <w:t xml:space="preserve">przetwarzania odpadów komunalnych, wchodzą również składowiska odpadów. </w:t>
      </w:r>
    </w:p>
    <w:p w:rsidR="00FB2534" w:rsidRDefault="00FB2534" w:rsidP="00670A55">
      <w:pPr>
        <w:pStyle w:val="GOMnormal"/>
      </w:pPr>
      <w:r w:rsidRPr="000B32F5">
        <w:t>W ramach zagospodarowania selektywnie zebranych odpadów zielonych, jako instalację regionalną wyznaczono kompostownię pryzmową, należącą do firmy Kommunalservice Vornkahl Polska. </w:t>
      </w:r>
    </w:p>
    <w:p w:rsidR="00FB2534" w:rsidRPr="006A49C0" w:rsidRDefault="00FB2534" w:rsidP="003B764F">
      <w:pPr>
        <w:pStyle w:val="GOMnagl1"/>
        <w:ind w:left="360"/>
      </w:pPr>
      <w:bookmarkStart w:id="109" w:name="_Toc422133338"/>
      <w:r>
        <w:t>Identyfikacja obszarów problemowych</w:t>
      </w:r>
      <w:bookmarkEnd w:id="109"/>
    </w:p>
    <w:p w:rsidR="00FB2534" w:rsidRDefault="00FB2534" w:rsidP="00F9794C">
      <w:pPr>
        <w:pStyle w:val="GOMnormal"/>
      </w:pPr>
      <w:r>
        <w:t>Wykonana analiza stanu aktualnego, jak również analiza dokumentów strategicznych pozwala na wyciągnięcie następujących wniosków w zakresie identyfikacji głównych obszarów problemowych, w kontekście opracowania niniejszego planu:</w:t>
      </w:r>
    </w:p>
    <w:p w:rsidR="00FB2534" w:rsidRPr="00F9794C" w:rsidRDefault="00FB2534" w:rsidP="00407562">
      <w:pPr>
        <w:pStyle w:val="GOMwypkt"/>
        <w:numPr>
          <w:ilvl w:val="0"/>
          <w:numId w:val="28"/>
        </w:numPr>
        <w:ind w:left="568" w:hanging="284"/>
      </w:pPr>
      <w:r w:rsidRPr="00F9794C">
        <w:t>dominacja rozproszonych, przestarzałych systemów grzewczych,</w:t>
      </w:r>
    </w:p>
    <w:p w:rsidR="00FB2534" w:rsidRPr="00F9794C" w:rsidRDefault="00FB2534" w:rsidP="00407562">
      <w:pPr>
        <w:pStyle w:val="GOMwypkt"/>
        <w:numPr>
          <w:ilvl w:val="0"/>
          <w:numId w:val="28"/>
        </w:numPr>
        <w:ind w:left="568" w:hanging="284"/>
      </w:pPr>
      <w:r w:rsidRPr="00F9794C">
        <w:t xml:space="preserve">brak sieci ciepłowniczej, </w:t>
      </w:r>
    </w:p>
    <w:p w:rsidR="00FB2534" w:rsidRPr="00F9794C" w:rsidRDefault="00FB2534" w:rsidP="00407562">
      <w:pPr>
        <w:pStyle w:val="GOMwypkt"/>
        <w:numPr>
          <w:ilvl w:val="0"/>
          <w:numId w:val="28"/>
        </w:numPr>
        <w:ind w:left="568" w:hanging="284"/>
      </w:pPr>
      <w:r w:rsidRPr="00F9794C">
        <w:t>zły stan izolacyjności cieplnej budynków komunalnych, użyteczności publicznej i mieszkalnych,</w:t>
      </w:r>
    </w:p>
    <w:p w:rsidR="00FB2534" w:rsidRPr="00F9794C" w:rsidRDefault="00FB2534" w:rsidP="00407562">
      <w:pPr>
        <w:pStyle w:val="GOMwypkt"/>
        <w:numPr>
          <w:ilvl w:val="0"/>
          <w:numId w:val="28"/>
        </w:numPr>
        <w:ind w:left="568" w:hanging="284"/>
      </w:pPr>
      <w:r w:rsidRPr="00F9794C">
        <w:t>niskie parametry techniczne dróg,</w:t>
      </w:r>
    </w:p>
    <w:p w:rsidR="00FB2534" w:rsidRPr="00422035" w:rsidRDefault="00FB2534" w:rsidP="00407562">
      <w:pPr>
        <w:pStyle w:val="GOMwypkt"/>
        <w:numPr>
          <w:ilvl w:val="0"/>
          <w:numId w:val="28"/>
        </w:numPr>
        <w:ind w:left="568" w:hanging="284"/>
      </w:pPr>
      <w:r w:rsidRPr="00D34FFA">
        <w:rPr>
          <w:rFonts w:cs="Calibri"/>
        </w:rPr>
        <w:t xml:space="preserve">niedostatecznie rozwinięta sieć drogowa, </w:t>
      </w:r>
      <w:r>
        <w:rPr>
          <w:rFonts w:cs="Calibri"/>
        </w:rPr>
        <w:t xml:space="preserve">w tym </w:t>
      </w:r>
      <w:r w:rsidRPr="00422035">
        <w:t>brak obwodnic</w:t>
      </w:r>
      <w:r>
        <w:t>y miasta Malborka (na terenie gminy Malbork)</w:t>
      </w:r>
      <w:r w:rsidRPr="00422035">
        <w:t>,</w:t>
      </w:r>
    </w:p>
    <w:p w:rsidR="00FB2534" w:rsidRDefault="00FB2534" w:rsidP="00407562">
      <w:pPr>
        <w:pStyle w:val="GOMwypkt"/>
        <w:numPr>
          <w:ilvl w:val="0"/>
          <w:numId w:val="28"/>
        </w:numPr>
        <w:ind w:left="568" w:hanging="284"/>
      </w:pPr>
      <w:r>
        <w:t>zły stan sieci elektroenergetycznych,</w:t>
      </w:r>
    </w:p>
    <w:p w:rsidR="00FB2534" w:rsidRPr="00422035" w:rsidRDefault="00FB2534" w:rsidP="00407562">
      <w:pPr>
        <w:pStyle w:val="GOMwypkt"/>
        <w:numPr>
          <w:ilvl w:val="0"/>
          <w:numId w:val="28"/>
        </w:numPr>
        <w:ind w:left="568" w:hanging="284"/>
      </w:pPr>
      <w:r w:rsidRPr="00422035">
        <w:t>niska skuteczność selektywnego zbierania odpadów u źródła,</w:t>
      </w:r>
    </w:p>
    <w:p w:rsidR="00FB2534" w:rsidRPr="00422035" w:rsidRDefault="00FB2534" w:rsidP="00407562">
      <w:pPr>
        <w:pStyle w:val="GOMwypkt"/>
        <w:numPr>
          <w:ilvl w:val="0"/>
          <w:numId w:val="28"/>
        </w:numPr>
        <w:ind w:left="568" w:hanging="284"/>
      </w:pPr>
      <w:r w:rsidRPr="00422035">
        <w:t>niski stopień wykorzystania odpadów, w tym w celu odzysku energii,</w:t>
      </w:r>
    </w:p>
    <w:p w:rsidR="00FB2534" w:rsidRPr="00422035" w:rsidRDefault="00FB2534" w:rsidP="00407562">
      <w:pPr>
        <w:pStyle w:val="GOMwypkt"/>
        <w:numPr>
          <w:ilvl w:val="0"/>
          <w:numId w:val="28"/>
        </w:numPr>
        <w:ind w:left="568" w:hanging="284"/>
      </w:pPr>
      <w:r w:rsidRPr="00422035">
        <w:t>praktyki spalania odpadów w paleniskach domowych,</w:t>
      </w:r>
    </w:p>
    <w:p w:rsidR="00FB2534" w:rsidRDefault="00FB2534" w:rsidP="00407562">
      <w:pPr>
        <w:pStyle w:val="GOMwypkt"/>
        <w:numPr>
          <w:ilvl w:val="0"/>
          <w:numId w:val="28"/>
        </w:numPr>
        <w:ind w:left="568" w:hanging="284"/>
      </w:pPr>
      <w:r w:rsidRPr="00422035">
        <w:t>mały udział odnawialnych</w:t>
      </w:r>
      <w:r>
        <w:t xml:space="preserve"> źródeł energii, </w:t>
      </w:r>
    </w:p>
    <w:p w:rsidR="00FB2534" w:rsidRDefault="00FB2534" w:rsidP="00407562">
      <w:pPr>
        <w:pStyle w:val="GOMwypkt"/>
        <w:numPr>
          <w:ilvl w:val="0"/>
          <w:numId w:val="28"/>
        </w:numPr>
        <w:ind w:left="568" w:hanging="284"/>
      </w:pPr>
      <w:r>
        <w:t>niska świadomość mieszkańców w zakresie efektywności energetycznej i ochrony środowiska.</w:t>
      </w:r>
    </w:p>
    <w:p w:rsidR="00FB2534" w:rsidRDefault="00FB2534" w:rsidP="00EE1860">
      <w:pPr>
        <w:pStyle w:val="GOMnormal"/>
      </w:pPr>
      <w:r>
        <w:t>Mając powyższe na uwadze można wskazać główne rekomendacje dla formułowanych w ramach PGN kierunków działań, szczególnie w obszarach problemowych:</w:t>
      </w:r>
    </w:p>
    <w:p w:rsidR="00FB2534" w:rsidRDefault="00FB2534" w:rsidP="00407562">
      <w:pPr>
        <w:pStyle w:val="GOMwypkt"/>
        <w:numPr>
          <w:ilvl w:val="0"/>
          <w:numId w:val="28"/>
        </w:numPr>
        <w:ind w:left="568" w:hanging="284"/>
      </w:pPr>
      <w:r>
        <w:t>termomodernizacja budynków mieszkalnych, komunalnych i użyteczności publicznej;</w:t>
      </w:r>
    </w:p>
    <w:p w:rsidR="00FB2534" w:rsidRDefault="00FB2534" w:rsidP="00407562">
      <w:pPr>
        <w:pStyle w:val="GOMwypkt"/>
        <w:numPr>
          <w:ilvl w:val="0"/>
          <w:numId w:val="28"/>
        </w:numPr>
        <w:ind w:left="568" w:hanging="284"/>
      </w:pPr>
      <w:r>
        <w:t>rozwój scentralizowanych systemów ogrzewania;</w:t>
      </w:r>
    </w:p>
    <w:p w:rsidR="00FB2534" w:rsidRDefault="00FB2534" w:rsidP="00407562">
      <w:pPr>
        <w:pStyle w:val="GOMwypkt"/>
        <w:numPr>
          <w:ilvl w:val="0"/>
          <w:numId w:val="28"/>
        </w:numPr>
        <w:ind w:left="568" w:hanging="284"/>
      </w:pPr>
      <w:r>
        <w:t>intensyfikacja wymiany indywidualnych systemów grzewczych na niskoemisyjne (gazowe, olejowe) oraz procesów termomodernizacji, szczególnie na obszarach występowania przekroczeń norm jakości powietrza;</w:t>
      </w:r>
    </w:p>
    <w:p w:rsidR="00FB2534" w:rsidRDefault="00FB2534" w:rsidP="00407562">
      <w:pPr>
        <w:pStyle w:val="GOMwypkt"/>
        <w:numPr>
          <w:ilvl w:val="0"/>
          <w:numId w:val="28"/>
        </w:numPr>
        <w:ind w:left="568" w:hanging="284"/>
      </w:pPr>
      <w:r>
        <w:t>rozwój rozproszonych źródeł OZE;</w:t>
      </w:r>
    </w:p>
    <w:p w:rsidR="00FB2534" w:rsidRDefault="00FB2534" w:rsidP="00407562">
      <w:pPr>
        <w:pStyle w:val="GOMwypkt"/>
        <w:numPr>
          <w:ilvl w:val="0"/>
          <w:numId w:val="28"/>
        </w:numPr>
        <w:ind w:left="568" w:hanging="284"/>
      </w:pPr>
      <w:r>
        <w:t>rozwój alternatywnych środków transportu;</w:t>
      </w:r>
    </w:p>
    <w:p w:rsidR="00FB2534" w:rsidRDefault="00FB2534" w:rsidP="00407562">
      <w:pPr>
        <w:pStyle w:val="GOMwypkt"/>
        <w:numPr>
          <w:ilvl w:val="0"/>
          <w:numId w:val="28"/>
        </w:numPr>
        <w:ind w:left="568" w:hanging="284"/>
      </w:pPr>
      <w:r>
        <w:t>poprawa jakości istniejących dróg;</w:t>
      </w:r>
    </w:p>
    <w:p w:rsidR="00FB2534" w:rsidRDefault="00FB2534" w:rsidP="00407562">
      <w:pPr>
        <w:pStyle w:val="GOMwypkt"/>
        <w:numPr>
          <w:ilvl w:val="0"/>
          <w:numId w:val="28"/>
        </w:numPr>
        <w:ind w:left="568" w:hanging="284"/>
      </w:pPr>
      <w:r>
        <w:t>wyprowadzenie ruchu drogowego z obszarów o największym zaludnieniu;</w:t>
      </w:r>
    </w:p>
    <w:p w:rsidR="00FB2534" w:rsidRDefault="00FB2534" w:rsidP="00407562">
      <w:pPr>
        <w:pStyle w:val="GOMwypkt"/>
        <w:numPr>
          <w:ilvl w:val="0"/>
          <w:numId w:val="28"/>
        </w:numPr>
        <w:ind w:left="568" w:hanging="284"/>
      </w:pPr>
      <w:r>
        <w:t>poprawa selektywnej zbiórki odpadów;</w:t>
      </w:r>
    </w:p>
    <w:p w:rsidR="00FB2534" w:rsidRDefault="00FB2534" w:rsidP="00407562">
      <w:pPr>
        <w:pStyle w:val="GOMwypkt"/>
        <w:numPr>
          <w:ilvl w:val="0"/>
          <w:numId w:val="28"/>
        </w:numPr>
        <w:ind w:left="568" w:hanging="284"/>
      </w:pPr>
      <w:r>
        <w:t>poprawa świadomości ekologicznej mieszkańców.</w:t>
      </w:r>
    </w:p>
    <w:p w:rsidR="00FB2534" w:rsidRDefault="00FB2534" w:rsidP="00A51C15">
      <w:pPr>
        <w:pStyle w:val="GOMnagl1"/>
        <w:spacing w:before="240"/>
        <w:ind w:left="357" w:hanging="357"/>
      </w:pPr>
      <w:bookmarkStart w:id="110" w:name="_Toc412201395"/>
      <w:bookmarkStart w:id="111" w:name="_Toc422133339"/>
      <w:r w:rsidRPr="00A074C4">
        <w:t>Wyniki inwentaryzacji emisji dwutlenku węgla dla roku 2013</w:t>
      </w:r>
      <w:bookmarkEnd w:id="110"/>
      <w:bookmarkEnd w:id="111"/>
    </w:p>
    <w:p w:rsidR="00FB2534" w:rsidRPr="00480EC0" w:rsidRDefault="00FB2534" w:rsidP="00DE579C">
      <w:pPr>
        <w:pStyle w:val="NormalWeb"/>
        <w:spacing w:before="120" w:beforeAutospacing="0" w:after="120" w:afterAutospacing="0"/>
        <w:jc w:val="both"/>
        <w:rPr>
          <w:rFonts w:ascii="Calibri" w:hAnsi="Calibri"/>
          <w:sz w:val="20"/>
          <w:szCs w:val="20"/>
        </w:rPr>
      </w:pPr>
      <w:r w:rsidRPr="00480EC0">
        <w:rPr>
          <w:rFonts w:ascii="Calibri" w:hAnsi="Calibri"/>
          <w:sz w:val="20"/>
          <w:szCs w:val="20"/>
        </w:rPr>
        <w:t xml:space="preserve">Inwentaryzacja emisji dwutlenku węgla na terenie Gminy </w:t>
      </w:r>
      <w:r>
        <w:rPr>
          <w:rFonts w:ascii="Calibri" w:hAnsi="Calibri"/>
          <w:sz w:val="20"/>
          <w:szCs w:val="20"/>
        </w:rPr>
        <w:t>Malbork</w:t>
      </w:r>
      <w:r w:rsidRPr="00480EC0">
        <w:rPr>
          <w:rFonts w:ascii="Calibri" w:hAnsi="Calibri"/>
          <w:sz w:val="20"/>
          <w:szCs w:val="20"/>
        </w:rPr>
        <w:t xml:space="preserve"> miała na celu wyselekcjonowanie i usystematyzowanie informacji pozwalających na ocenę gospodarki energią i surowcami w gminie. Obejmowała następujące obszary działalności:</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infrastrukturę użyteczności publicznej (budynki gminne, wyposażenie lub/i urządzenia),</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budynki mieszkalne (gospodarstwa domowe),</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budynki usługowe,</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oświetlenie uliczne (lokalne latarnie świetlne oraz sygnalizację świetlną),</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transport – emisja liniowa w podziale na samochody: osobowe, dostawcze, ciężarowe, w tym również transport publiczny (infrastruktura gminnych zakładów komunikacyjnych),</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przemysł,</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energetykę (przedsiębiorstwa, firmy odpowiedzialne za produkcję energii eklektycznej i cieplnej),</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obszary rolnicze,</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obszary leśne,</w:t>
      </w:r>
    </w:p>
    <w:p w:rsidR="00FB2534" w:rsidRPr="00480EC0" w:rsidRDefault="00FB2534" w:rsidP="00407562">
      <w:pPr>
        <w:pStyle w:val="NormalWeb"/>
        <w:numPr>
          <w:ilvl w:val="0"/>
          <w:numId w:val="45"/>
        </w:numPr>
        <w:spacing w:before="0" w:beforeAutospacing="0" w:after="0" w:afterAutospacing="0"/>
        <w:ind w:left="285"/>
        <w:jc w:val="both"/>
        <w:textAlignment w:val="baseline"/>
        <w:rPr>
          <w:rFonts w:ascii="Calibri" w:hAnsi="Calibri"/>
          <w:sz w:val="20"/>
          <w:szCs w:val="20"/>
        </w:rPr>
      </w:pPr>
      <w:r w:rsidRPr="00480EC0">
        <w:rPr>
          <w:rFonts w:ascii="Calibri" w:hAnsi="Calibri"/>
          <w:sz w:val="20"/>
          <w:szCs w:val="20"/>
        </w:rPr>
        <w:t>gospodarkę odpadami.</w:t>
      </w:r>
    </w:p>
    <w:p w:rsidR="00FB2534" w:rsidRPr="00DE579C" w:rsidRDefault="00FB2534" w:rsidP="00DE579C">
      <w:pPr>
        <w:pStyle w:val="GOMnormal"/>
      </w:pPr>
      <w:r w:rsidRPr="00480EC0">
        <w:t>W przedstawionym wyżej podziale przygotowana została również wymagana baza danych o emisji dwutlenku węgla i zanieczyszczeń powietrza: pyłu zawieszonego PM10 i PM2,5, benzo(a)pirenu, dwutlenku siarki i dwutlenku azotu.</w:t>
      </w:r>
    </w:p>
    <w:p w:rsidR="00FB2534" w:rsidRDefault="00FB2534" w:rsidP="0005600A">
      <w:pPr>
        <w:pStyle w:val="GOMnagl2"/>
        <w:ind w:left="720"/>
      </w:pPr>
      <w:bookmarkStart w:id="112" w:name="_Toc412201396"/>
      <w:bookmarkStart w:id="113" w:name="_Toc422133340"/>
      <w:r w:rsidRPr="009544CE">
        <w:t>Metodologia inwentaryzacji dla PGN</w:t>
      </w:r>
      <w:bookmarkEnd w:id="112"/>
      <w:bookmarkEnd w:id="113"/>
    </w:p>
    <w:p w:rsidR="00FB2534" w:rsidRDefault="00FB2534" w:rsidP="00E53A06">
      <w:pPr>
        <w:pStyle w:val="GOMnormal"/>
      </w:pPr>
      <w:r>
        <w:t>Jako rok inwentaryzacji, z uwagi na dostępność w miarę kompletnych i wiarygodnych danych, wybrano rok 2013. Ten sam rok został również przyjęty jako bazowy do obliczenia redukcji emisji CO</w:t>
      </w:r>
      <w:r>
        <w:rPr>
          <w:vertAlign w:val="subscript"/>
        </w:rPr>
        <w:t>2</w:t>
      </w:r>
      <w:r>
        <w:t>, zużycia energii finalnej oraz redukcji emisji pyłu PM10.</w:t>
      </w:r>
    </w:p>
    <w:p w:rsidR="00FB2534" w:rsidRDefault="00FB2534" w:rsidP="00E53A06">
      <w:pPr>
        <w:pStyle w:val="GOMwyr"/>
      </w:pPr>
      <w:r>
        <w:t>Sektory związane ze zużyciem paliw lub energii</w:t>
      </w:r>
    </w:p>
    <w:p w:rsidR="00FB2534" w:rsidRDefault="00FB2534" w:rsidP="00E53A06">
      <w:pPr>
        <w:pStyle w:val="GOMnormal"/>
      </w:pPr>
      <w:r>
        <w:t>Ze względu na strukturę, zawartość PGN oraz wymagania stawiane bazie danych o emisji, jako podstawę do przygotowania Planu wykorzystano wytyczne Ministerstwa Środowiska odnośnie sposobu przygotowywania inwentaryzacji emisji na potrzeby programów ochrony powietrza, jak również wytyczne „Porozumienia Między Burmistrzami” w zakresie opracowania planu działań na rzecz zrównoważonej energii (SEAP).</w:t>
      </w:r>
    </w:p>
    <w:p w:rsidR="00FB2534" w:rsidRDefault="00FB2534" w:rsidP="00E53A06">
      <w:pPr>
        <w:pStyle w:val="GOMnormal"/>
      </w:pPr>
      <w:r>
        <w:t>Do obliczenia emisji bazowej substancji wykonawca posłużył się metodyką inwentaryzacji stosowaną na potrzeby opracowania programów ochrony powietrza, jak również wykorzystano elementy metodyki polegającej na obliczeniu emisji, na podstawie zużycia nośników energii finalnej na obszarze miast i gmin, w poszczególnych sektorach. Przez nośniki energii rozumie się paliwa, energię elektryczną oraz ciepło sieciowe w zużyciu bezpośrednim.</w:t>
      </w:r>
    </w:p>
    <w:p w:rsidR="00FB2534" w:rsidRDefault="00FB2534" w:rsidP="00E53A06">
      <w:pPr>
        <w:pStyle w:val="GOMnormal"/>
      </w:pPr>
      <w:r>
        <w:t>W celu sporządzenia inwentaryzacji emisji kluczową sprawą było wyznaczenie jej granic, czyli określenie, które źródła emisji włączyć do inwentaryzacji. Definicja granic inwentaryzacji miała wpływ na jej końcowy efekt, ponieważ określiła, które źródła emisji były w niej ujęte, a które z niej wyłączone. Poniżej znajduje się uzasadnienie wyboru granic inwentaryzacji. Dla samorządu lokalnego miast i gmin wyznaczono dwie granice:</w:t>
      </w:r>
    </w:p>
    <w:p w:rsidR="00FB2534" w:rsidRDefault="00FB2534" w:rsidP="00407562">
      <w:pPr>
        <w:pStyle w:val="GOMwypkt"/>
        <w:numPr>
          <w:ilvl w:val="0"/>
          <w:numId w:val="21"/>
        </w:numPr>
        <w:ind w:left="568" w:hanging="284"/>
      </w:pPr>
      <w:r>
        <w:t>granica organizacyjna – obejmująca wszelkie działania będące w zasięgu bezpośredniej kontroli samorządu lokalnego. Tam, gdzie kończy się granica organizacyjna samorządu (sektor publiczny) zaczyna się granica społeczeństwa (sektor prywatny). W przypadkach, gdy aktywności obu sektorów pokrywają się ze sobą, należy przyjąć zasadę proporcjonalności emisji zależnej od udziałów danego sektora w strukturze własnościowej danego podmiotu;</w:t>
      </w:r>
    </w:p>
    <w:p w:rsidR="00FB2534" w:rsidRDefault="00FB2534" w:rsidP="00407562">
      <w:pPr>
        <w:pStyle w:val="GOMwypkt"/>
        <w:numPr>
          <w:ilvl w:val="0"/>
          <w:numId w:val="21"/>
        </w:numPr>
        <w:ind w:left="568" w:hanging="284"/>
      </w:pPr>
      <w:r>
        <w:t>granica geopolityczna – zawierająca fizyczny obszar lub region, będący we władaniu samorządu lokalnego.</w:t>
      </w:r>
    </w:p>
    <w:p w:rsidR="00FB2534" w:rsidRDefault="00FB2534" w:rsidP="00E53A06">
      <w:pPr>
        <w:pStyle w:val="GOMnormal"/>
      </w:pPr>
      <w:r>
        <w:t>Dodatkowo istotne są ramy czasowe inwentaryzacji, którą przeprowadzono dla określonego roku - roku bazowego w stosunku, do którego odniesiony będzie cel redukcji emisji ekwiwalentu dwutlenku węgla.</w:t>
      </w:r>
    </w:p>
    <w:p w:rsidR="00FB2534" w:rsidRDefault="00FB2534" w:rsidP="00E53A06">
      <w:pPr>
        <w:pStyle w:val="GOMpowyr"/>
      </w:pPr>
      <w:r>
        <w:t>Granica organizacyjna – analiza aktywności samorządu</w:t>
      </w:r>
    </w:p>
    <w:p w:rsidR="00FB2534" w:rsidRDefault="00FB2534" w:rsidP="00E53A06">
      <w:pPr>
        <w:pStyle w:val="GOMnormal"/>
      </w:pPr>
      <w:r>
        <w:t>Analiza emisji związanej z aktywnością samorządu lokalnego obejmuje emisje powstałe na skutek użytkowania wszystkich środków trwałych oraz mediów. Wszystkie emisje powstałe na skutek działalności samorządu lokalnego są uwzględniane, bez względu na to gdzie powstały. W niektórych przypadkach, w szczególności w kwestiach zużycia energii, emisja często występuje poza granicami geopolitycznymi samorządu lokalnego. Fizyczna lokalizacja źródła powstawania emisji, w większości przypadków, nie jest istotna przy podejmowaniu decyzji, które emisje uwzględnić w analizie.</w:t>
      </w:r>
    </w:p>
    <w:p w:rsidR="00FB2534" w:rsidRDefault="00FB2534" w:rsidP="00E53A06">
      <w:pPr>
        <w:pStyle w:val="GOMpowyr"/>
      </w:pPr>
      <w:r>
        <w:t>Granica geopolityczna – analiza aktywności społeczeństwa</w:t>
      </w:r>
    </w:p>
    <w:p w:rsidR="00FB2534" w:rsidRPr="00DE579C" w:rsidRDefault="00FB2534" w:rsidP="00E53A06">
      <w:pPr>
        <w:pStyle w:val="GOMnormal"/>
      </w:pPr>
      <w:r>
        <w:t xml:space="preserve">Analiza emisji związanej z aktywnością społeczeństwa zawiera emisje związane z działalnością powstałą w granicach geopolitycznych samorządu lokalnego. Władze lokalne mają wpływ na aktywność społeczeństwa poprzez m.in. ustalanie prawa </w:t>
      </w:r>
      <w:r w:rsidRPr="00DE579C">
        <w:t xml:space="preserve">lokalnego, programy edukacyjne czy propagowanie wzorów zachowań społecznych. Mimo, że niektóre samorządy lokalne mogą mieć ograniczony wpływ na poziom emisji z poszczególnych działań, należy podjąć starania dokonania precyzyjnej analizy wszystkich działań, które skutkują emisją gazów cieplarnianych w celu uzyskania kompletnej wiedzy o emisjach z terenu gminy. </w:t>
      </w:r>
    </w:p>
    <w:p w:rsidR="00FB2534" w:rsidRPr="00DE579C" w:rsidRDefault="00FB2534" w:rsidP="00E53A06">
      <w:pPr>
        <w:pStyle w:val="GOMpowyr"/>
      </w:pPr>
      <w:r w:rsidRPr="00DE579C">
        <w:t>Przyjęty zakres inwentaryzacji Gminy Malbork</w:t>
      </w:r>
    </w:p>
    <w:p w:rsidR="00FB2534" w:rsidRPr="00DE579C" w:rsidRDefault="00FB2534" w:rsidP="00E53A06">
      <w:pPr>
        <w:pStyle w:val="GOMnormal"/>
      </w:pPr>
      <w:r w:rsidRPr="00DE579C">
        <w:t>Zakres terytorialny inwentaryzacji obejmował obszar Gminy Malbork.</w:t>
      </w:r>
    </w:p>
    <w:p w:rsidR="00FB2534" w:rsidRPr="00DE579C" w:rsidRDefault="00FB2534" w:rsidP="00E53A06">
      <w:pPr>
        <w:pStyle w:val="GOMnormal"/>
      </w:pPr>
      <w:r w:rsidRPr="00DE579C">
        <w:t>Inwentaryzacja emisji CO</w:t>
      </w:r>
      <w:r w:rsidRPr="00DE579C">
        <w:rPr>
          <w:vertAlign w:val="subscript"/>
        </w:rPr>
        <w:t>2</w:t>
      </w:r>
      <w:r w:rsidRPr="00DE579C">
        <w:t xml:space="preserve"> oraz substancji zanieczyszczających powietrze (pyłu zawieszonego PM10, PM2,5 oraz benzo(a)pirenu, SO</w:t>
      </w:r>
      <w:r w:rsidRPr="00DE579C">
        <w:rPr>
          <w:vertAlign w:val="subscript"/>
        </w:rPr>
        <w:t>2</w:t>
      </w:r>
      <w:r w:rsidRPr="00DE579C">
        <w:t xml:space="preserve"> i NO</w:t>
      </w:r>
      <w:r w:rsidRPr="00DE579C">
        <w:rPr>
          <w:vertAlign w:val="subscript"/>
        </w:rPr>
        <w:t>2</w:t>
      </w:r>
      <w:r w:rsidRPr="00DE579C">
        <w:t>) została wykonana dla roku 2013 – który stanowi rok bazowy Planu gospodarki niskoemisyjnej dla GOM. Podczas inwentaryzacji wykorzystane zostały metodologie niezbędne dla uzyskania najlepszej jakości danych:</w:t>
      </w:r>
    </w:p>
    <w:p w:rsidR="00FB2534" w:rsidRPr="00DE579C" w:rsidRDefault="00FB2534" w:rsidP="00407562">
      <w:pPr>
        <w:pStyle w:val="GOMwypkt"/>
        <w:numPr>
          <w:ilvl w:val="0"/>
          <w:numId w:val="21"/>
        </w:numPr>
        <w:ind w:left="568" w:hanging="284"/>
      </w:pPr>
      <w:r w:rsidRPr="00DE579C">
        <w:t>Metodologia „bottom-up” polega na zbieraniu danych u źródła. Każda jednostka podlegająca inwentaryzacji podaje dane, które później agreguje się w taki sposób, aby dane były reprezentatywne dla większej populacji lub obszaru. Metodologia ta zwiększa prawdopodobieństwo popełnienia błędu przy analizie i obróbce danych oraz niepewność, czy cała docelowa populacja została ujęta w zestawieniu;</w:t>
      </w:r>
    </w:p>
    <w:p w:rsidR="00FB2534" w:rsidRPr="00DE579C" w:rsidRDefault="00FB2534" w:rsidP="00407562">
      <w:pPr>
        <w:pStyle w:val="GOMwypkt"/>
        <w:numPr>
          <w:ilvl w:val="0"/>
          <w:numId w:val="21"/>
        </w:numPr>
        <w:ind w:left="568" w:hanging="284"/>
      </w:pPr>
      <w:r w:rsidRPr="00DE579C">
        <w:t>Metodologia „top-down” polega na pozyskaniu zagregowanych danych dla większej jednostki obszaru lub populacji. Jakość danych jest wtedy generalnie lepsza, ponieważ jest mała ilość źródeł danych. Jeżeli zagregowane dane nie są reprezentatywne dla danego obszaru lub populacji, należy tak je przekształcić, aby jak najwierniej obrazowały zaistniałą sytuację. Główną wadą tej metody jest mała rozdzielczość danych, która może skutkować ukryciem trendów, mogących pojawić się przy większej rozdzielczości;</w:t>
      </w:r>
    </w:p>
    <w:p w:rsidR="00FB2534" w:rsidRPr="00DE579C" w:rsidRDefault="00FB2534" w:rsidP="00407562">
      <w:pPr>
        <w:pStyle w:val="GOMwypkt"/>
        <w:numPr>
          <w:ilvl w:val="0"/>
          <w:numId w:val="21"/>
        </w:numPr>
        <w:ind w:left="568" w:hanging="284"/>
      </w:pPr>
      <w:r w:rsidRPr="00DE579C">
        <w:t>Inwentaryzacja emisji dwutlenku węgla (CO</w:t>
      </w:r>
      <w:r w:rsidRPr="00DE579C">
        <w:rPr>
          <w:vertAlign w:val="subscript"/>
        </w:rPr>
        <w:t>2</w:t>
      </w:r>
      <w:r w:rsidRPr="00DE579C">
        <w:t>) – wytyczne „Jak opracować plan działań na rzecz zrównoważonej energii (SEAP)?”</w:t>
      </w:r>
      <w:r>
        <w:t>.</w:t>
      </w:r>
    </w:p>
    <w:p w:rsidR="00FB2534" w:rsidRDefault="00FB2534" w:rsidP="00E53A06">
      <w:pPr>
        <w:pStyle w:val="GOMnormal"/>
      </w:pPr>
      <w:r w:rsidRPr="00DE579C">
        <w:t>Celem inwentaryzacji było określenie wielkości emisji z obszaru gminy tak, aby możliwe było zaprojektowanie działań służących jej ograniczeniu przez władze administracji publicznej. W związku z powyższym, emisje z sektorów, na które władze miasta mają niewielki wpływ (bardzo ograniczony) są traktowane z mniejszą uwagą, natomiast szczegółowo analizowano wielkości emisji z sektorów w większym stopniu regulowanych przez władze samorządowe. Wśród sektorów, gdzie polityka władz gminnych może wpłynąć na wielkość emisji w sposób realny wymienić można np.: sektor infrastruktury użyteczności publicznej oraz gospodarstw domowych. Wytyczne dają możliwość określania emisji wynikającą tylko i wyłącznie z finalnego zużycia energii in situ, jak i w sposób bardziej pełny, poprzez zastosowanie oceny cyklu życia produktów i usług (tzw. LCA – Life Cycle Assessment). Podejście standardowe jest bardziej precyzyjne w wyznaczaniu wielkości emisji, rodzi mniejszy szacunkowy błąd. Natomiast podejście LCA, pomimo swojej większej niedokła</w:t>
      </w:r>
      <w:r w:rsidRPr="00E857CB">
        <w:t>dności</w:t>
      </w:r>
      <w:r>
        <w:t>,</w:t>
      </w:r>
      <w:r w:rsidRPr="00E857CB">
        <w:t xml:space="preserve"> daje pełniejszy obraz wielkości emisji, który uwzględnia również częściowe emisje wynikające z procesu wytwarzania i trans</w:t>
      </w:r>
      <w:r>
        <w:t>portu (dostawy) danego produktu czy</w:t>
      </w:r>
      <w:r w:rsidRPr="00E857CB">
        <w:t xml:space="preserve"> usługi. Z tego też powodu w podejściu LCA e</w:t>
      </w:r>
      <w:r>
        <w:t>nergia elektryczna pochodząca z </w:t>
      </w:r>
      <w:r w:rsidRPr="00E857CB">
        <w:t>odnawialnych źródeł energii nie</w:t>
      </w:r>
      <w:r>
        <w:t xml:space="preserve"> jest traktowana</w:t>
      </w:r>
      <w:r w:rsidRPr="00E857CB">
        <w:t xml:space="preserve"> jako bezemisyjne źródło energii.</w:t>
      </w:r>
      <w:r>
        <w:t xml:space="preserve"> W tabeli poniżej przedstawiono porównanie omówionych wyżej wskaźników dla wybranych paliw i źródeł energii odnawialnej.</w:t>
      </w:r>
    </w:p>
    <w:p w:rsidR="00FB2534" w:rsidRDefault="00FB2534" w:rsidP="00E53A06">
      <w:pPr>
        <w:pStyle w:val="GOMpodpistab"/>
      </w:pPr>
      <w:bookmarkStart w:id="114" w:name="_Toc421054486"/>
      <w:bookmarkStart w:id="115" w:name="_Toc422135094"/>
      <w:r>
        <w:t xml:space="preserve">Tabela </w:t>
      </w:r>
      <w:r>
        <w:fldChar w:fldCharType="begin"/>
      </w:r>
      <w:r>
        <w:instrText xml:space="preserve"> SEQ Tabela \* ARABIC </w:instrText>
      </w:r>
      <w:r>
        <w:fldChar w:fldCharType="separate"/>
      </w:r>
      <w:r>
        <w:rPr>
          <w:noProof/>
        </w:rPr>
        <w:t>1</w:t>
      </w:r>
      <w:r>
        <w:fldChar w:fldCharType="end"/>
      </w:r>
      <w:r>
        <w:t xml:space="preserve">. </w:t>
      </w:r>
      <w:r w:rsidRPr="00FB4DCD">
        <w:t>Porównanie wskaźników emisji (standardowy i LCA) dla wybranych paliw i źródeł energii odnawialnej</w:t>
      </w:r>
      <w:bookmarkEnd w:id="114"/>
      <w:bookmarkEnd w:id="115"/>
    </w:p>
    <w:tbl>
      <w:tblPr>
        <w:tblW w:w="5000" w:type="pct"/>
        <w:jc w:val="center"/>
        <w:tblCellMar>
          <w:top w:w="28" w:type="dxa"/>
          <w:left w:w="57" w:type="dxa"/>
          <w:bottom w:w="28" w:type="dxa"/>
          <w:right w:w="57" w:type="dxa"/>
        </w:tblCellMar>
        <w:tblLook w:val="00A0" w:firstRow="1" w:lastRow="0" w:firstColumn="1" w:lastColumn="0" w:noHBand="0" w:noVBand="0"/>
      </w:tblPr>
      <w:tblGrid>
        <w:gridCol w:w="3222"/>
        <w:gridCol w:w="2693"/>
        <w:gridCol w:w="2970"/>
      </w:tblGrid>
      <w:tr w:rsidR="00FB2534" w:rsidRPr="006A6497" w:rsidTr="00AC1CBB">
        <w:trPr>
          <w:cantSplit/>
          <w:trHeight w:val="227"/>
          <w:tblHeader/>
          <w:jc w:val="center"/>
        </w:trPr>
        <w:tc>
          <w:tcPr>
            <w:tcW w:w="3221" w:type="dxa"/>
            <w:tcBorders>
              <w:top w:val="single" w:sz="8" w:space="0" w:color="000000"/>
              <w:left w:val="single" w:sz="8" w:space="0" w:color="000000"/>
              <w:bottom w:val="single" w:sz="8" w:space="0" w:color="000000"/>
              <w:right w:val="single" w:sz="8" w:space="0" w:color="000000"/>
            </w:tcBorders>
            <w:shd w:val="clear" w:color="auto" w:fill="D9D9D9"/>
            <w:tcMar>
              <w:top w:w="0" w:type="dxa"/>
              <w:left w:w="108" w:type="dxa"/>
              <w:bottom w:w="0" w:type="dxa"/>
              <w:right w:w="108" w:type="dxa"/>
            </w:tcMar>
            <w:vAlign w:val="center"/>
          </w:tcPr>
          <w:p w:rsidR="00FB2534" w:rsidRPr="006A6497" w:rsidRDefault="00FB2534" w:rsidP="001D6A64">
            <w:pPr>
              <w:jc w:val="center"/>
              <w:rPr>
                <w:rFonts w:ascii="Calibri" w:hAnsi="Calibri"/>
                <w:b/>
                <w:bCs/>
                <w:sz w:val="18"/>
                <w:szCs w:val="18"/>
              </w:rPr>
            </w:pPr>
            <w:r>
              <w:rPr>
                <w:rFonts w:ascii="Calibri" w:hAnsi="Calibri"/>
                <w:b/>
                <w:bCs/>
                <w:sz w:val="18"/>
                <w:szCs w:val="18"/>
              </w:rPr>
              <w:t>Paliwo lub ź</w:t>
            </w:r>
            <w:r w:rsidRPr="006A6497">
              <w:rPr>
                <w:rFonts w:ascii="Calibri" w:hAnsi="Calibri"/>
                <w:b/>
                <w:bCs/>
                <w:sz w:val="18"/>
                <w:szCs w:val="18"/>
              </w:rPr>
              <w:t>ródło energii</w:t>
            </w:r>
          </w:p>
        </w:tc>
        <w:tc>
          <w:tcPr>
            <w:tcW w:w="2692"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rsidR="00FB2534" w:rsidRPr="006A6497" w:rsidRDefault="00FB2534" w:rsidP="001D6A64">
            <w:pPr>
              <w:jc w:val="center"/>
              <w:rPr>
                <w:rFonts w:ascii="Calibri" w:hAnsi="Calibri"/>
                <w:b/>
                <w:bCs/>
                <w:sz w:val="18"/>
                <w:szCs w:val="18"/>
              </w:rPr>
            </w:pPr>
            <w:r w:rsidRPr="006A6497">
              <w:rPr>
                <w:rFonts w:ascii="Calibri" w:hAnsi="Calibri"/>
                <w:b/>
                <w:bCs/>
                <w:sz w:val="18"/>
                <w:szCs w:val="18"/>
              </w:rPr>
              <w:t xml:space="preserve">Standardowe wskaźniki emisji </w:t>
            </w:r>
            <w:r w:rsidRPr="006A6497">
              <w:rPr>
                <w:rFonts w:ascii="Calibri" w:hAnsi="Calibri"/>
                <w:b/>
                <w:bCs/>
                <w:sz w:val="18"/>
                <w:szCs w:val="18"/>
              </w:rPr>
              <w:br/>
              <w:t>[Mg CO</w:t>
            </w:r>
            <w:r w:rsidRPr="006A6497">
              <w:rPr>
                <w:rFonts w:ascii="Calibri" w:hAnsi="Calibri"/>
                <w:b/>
                <w:bCs/>
                <w:sz w:val="18"/>
                <w:szCs w:val="18"/>
                <w:vertAlign w:val="subscript"/>
              </w:rPr>
              <w:t>2</w:t>
            </w:r>
            <w:r w:rsidRPr="006A6497">
              <w:rPr>
                <w:rFonts w:ascii="Calibri" w:hAnsi="Calibri"/>
                <w:b/>
                <w:bCs/>
                <w:sz w:val="18"/>
                <w:szCs w:val="18"/>
              </w:rPr>
              <w:t>/MWh</w:t>
            </w:r>
            <w:r w:rsidRPr="006A6497">
              <w:rPr>
                <w:rFonts w:ascii="Calibri" w:hAnsi="Calibri"/>
                <w:b/>
                <w:bCs/>
                <w:sz w:val="18"/>
                <w:szCs w:val="18"/>
                <w:vertAlign w:val="subscript"/>
              </w:rPr>
              <w:t>e</w:t>
            </w:r>
            <w:r w:rsidRPr="006A6497">
              <w:rPr>
                <w:rFonts w:ascii="Calibri" w:hAnsi="Calibri"/>
                <w:b/>
                <w:bCs/>
                <w:sz w:val="18"/>
                <w:szCs w:val="18"/>
              </w:rPr>
              <w:t>]</w:t>
            </w:r>
          </w:p>
        </w:tc>
        <w:tc>
          <w:tcPr>
            <w:tcW w:w="2969" w:type="dxa"/>
            <w:tcBorders>
              <w:top w:val="single" w:sz="8" w:space="0" w:color="000000"/>
              <w:left w:val="nil"/>
              <w:bottom w:val="single" w:sz="8" w:space="0" w:color="000000"/>
              <w:right w:val="single" w:sz="8" w:space="0" w:color="000000"/>
            </w:tcBorders>
            <w:shd w:val="clear" w:color="auto" w:fill="D9D9D9"/>
            <w:tcMar>
              <w:top w:w="0" w:type="dxa"/>
              <w:left w:w="108" w:type="dxa"/>
              <w:bottom w:w="0" w:type="dxa"/>
              <w:right w:w="108" w:type="dxa"/>
            </w:tcMar>
            <w:vAlign w:val="center"/>
          </w:tcPr>
          <w:p w:rsidR="00FB2534" w:rsidRPr="006A6497" w:rsidRDefault="00FB2534" w:rsidP="001D6A64">
            <w:pPr>
              <w:jc w:val="center"/>
              <w:rPr>
                <w:rFonts w:ascii="Calibri" w:hAnsi="Calibri"/>
                <w:b/>
                <w:bCs/>
                <w:sz w:val="18"/>
                <w:szCs w:val="18"/>
              </w:rPr>
            </w:pPr>
            <w:r w:rsidRPr="006A6497">
              <w:rPr>
                <w:rFonts w:ascii="Calibri" w:hAnsi="Calibri"/>
                <w:b/>
                <w:bCs/>
                <w:sz w:val="18"/>
                <w:szCs w:val="18"/>
              </w:rPr>
              <w:t>Wskaźniki emisji LCA (ocena cyklu życia) [Mg CO</w:t>
            </w:r>
            <w:r w:rsidRPr="006A6497">
              <w:rPr>
                <w:rFonts w:ascii="Calibri" w:hAnsi="Calibri"/>
                <w:b/>
                <w:bCs/>
                <w:sz w:val="18"/>
                <w:szCs w:val="18"/>
                <w:vertAlign w:val="subscript"/>
              </w:rPr>
              <w:t>2</w:t>
            </w:r>
            <w:r w:rsidRPr="006A6497">
              <w:rPr>
                <w:rFonts w:ascii="Calibri" w:hAnsi="Calibri"/>
                <w:b/>
                <w:bCs/>
                <w:sz w:val="18"/>
                <w:szCs w:val="18"/>
              </w:rPr>
              <w:t>/MWh</w:t>
            </w:r>
            <w:r w:rsidRPr="006A6497">
              <w:rPr>
                <w:rFonts w:ascii="Calibri" w:hAnsi="Calibri"/>
                <w:b/>
                <w:bCs/>
                <w:sz w:val="18"/>
                <w:szCs w:val="18"/>
                <w:vertAlign w:val="subscript"/>
              </w:rPr>
              <w:t>e</w:t>
            </w:r>
            <w:r w:rsidRPr="006A6497">
              <w:rPr>
                <w:rFonts w:ascii="Calibri" w:hAnsi="Calibri"/>
                <w:b/>
                <w:bCs/>
                <w:sz w:val="18"/>
                <w:szCs w:val="18"/>
              </w:rPr>
              <w:t>]</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Pr>
                <w:rFonts w:ascii="Calibri" w:hAnsi="Calibri" w:cs="Arial"/>
                <w:sz w:val="18"/>
                <w:szCs w:val="18"/>
              </w:rPr>
              <w:t>benzyna</w:t>
            </w:r>
            <w:r w:rsidRPr="006A6497">
              <w:rPr>
                <w:rFonts w:ascii="Calibri" w:hAnsi="Calibri" w:cs="Arial"/>
                <w:sz w:val="18"/>
                <w:szCs w:val="18"/>
              </w:rPr>
              <w:t xml:space="preserve"> silnikowa</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0,249</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0,299</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sidRPr="006A6497">
              <w:rPr>
                <w:rFonts w:ascii="Calibri" w:hAnsi="Calibri" w:cs="Arial"/>
                <w:sz w:val="18"/>
                <w:szCs w:val="18"/>
              </w:rPr>
              <w:t>olej napędowy</w:t>
            </w:r>
            <w:r>
              <w:rPr>
                <w:rFonts w:ascii="Calibri" w:hAnsi="Calibri" w:cs="Arial"/>
                <w:sz w:val="18"/>
                <w:szCs w:val="18"/>
              </w:rPr>
              <w:t xml:space="preserve"> (Diesel)</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0,267</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0,305</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sidRPr="006A6497">
              <w:rPr>
                <w:rFonts w:ascii="Calibri" w:hAnsi="Calibri" w:cs="Arial"/>
                <w:sz w:val="18"/>
                <w:szCs w:val="18"/>
              </w:rPr>
              <w:t>olej opałowy</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0,279</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0,31</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Pr>
                <w:rFonts w:ascii="Calibri" w:hAnsi="Calibri" w:cs="Arial"/>
                <w:sz w:val="18"/>
                <w:szCs w:val="18"/>
              </w:rPr>
              <w:t>w</w:t>
            </w:r>
            <w:r w:rsidRPr="006A6497">
              <w:rPr>
                <w:rFonts w:ascii="Calibri" w:hAnsi="Calibri" w:cs="Arial"/>
                <w:sz w:val="18"/>
                <w:szCs w:val="18"/>
              </w:rPr>
              <w:t>ęgiel</w:t>
            </w:r>
            <w:r>
              <w:rPr>
                <w:rFonts w:ascii="Calibri" w:hAnsi="Calibri" w:cs="Arial"/>
                <w:sz w:val="18"/>
                <w:szCs w:val="18"/>
              </w:rPr>
              <w:t xml:space="preserve"> kamienny</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0,341-0,364</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0,375-0,393</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Pr>
                <w:rFonts w:ascii="Calibri" w:hAnsi="Calibri" w:cs="Arial"/>
                <w:sz w:val="18"/>
                <w:szCs w:val="18"/>
              </w:rPr>
              <w:t>w</w:t>
            </w:r>
            <w:r w:rsidRPr="006A6497">
              <w:rPr>
                <w:rFonts w:ascii="Calibri" w:hAnsi="Calibri" w:cs="Arial"/>
                <w:sz w:val="18"/>
                <w:szCs w:val="18"/>
              </w:rPr>
              <w:t>ęgiel</w:t>
            </w:r>
            <w:r>
              <w:rPr>
                <w:rFonts w:ascii="Calibri" w:hAnsi="Calibri" w:cs="Arial"/>
                <w:sz w:val="18"/>
                <w:szCs w:val="18"/>
              </w:rPr>
              <w:t xml:space="preserve"> brunatny</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Pr>
                <w:rFonts w:ascii="Calibri" w:hAnsi="Calibri" w:cs="Arial"/>
                <w:sz w:val="18"/>
                <w:szCs w:val="18"/>
              </w:rPr>
              <w:t>0,364</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Pr>
                <w:rFonts w:ascii="Calibri" w:hAnsi="Calibri" w:cs="Arial"/>
                <w:sz w:val="18"/>
                <w:szCs w:val="18"/>
              </w:rPr>
              <w:t>0,375</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sidRPr="006A6497">
              <w:rPr>
                <w:rFonts w:ascii="Calibri" w:hAnsi="Calibri" w:cs="Arial"/>
                <w:sz w:val="18"/>
                <w:szCs w:val="18"/>
              </w:rPr>
              <w:t>gaz ziemny</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0,202</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0,237</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cs="Arial"/>
                <w:sz w:val="18"/>
                <w:szCs w:val="18"/>
              </w:rPr>
            </w:pPr>
            <w:r w:rsidRPr="006A6497">
              <w:rPr>
                <w:rFonts w:ascii="Calibri" w:hAnsi="Calibri" w:cs="Arial"/>
                <w:sz w:val="18"/>
                <w:szCs w:val="18"/>
              </w:rPr>
              <w:t>drewno</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0,2015</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cs="Arial"/>
                <w:sz w:val="18"/>
                <w:szCs w:val="18"/>
              </w:rPr>
            </w:pPr>
            <w:r w:rsidRPr="006A6497">
              <w:rPr>
                <w:rFonts w:ascii="Calibri" w:hAnsi="Calibri" w:cs="Arial"/>
                <w:sz w:val="18"/>
                <w:szCs w:val="18"/>
              </w:rPr>
              <w:t>0,2035</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sz w:val="18"/>
                <w:szCs w:val="18"/>
              </w:rPr>
            </w:pPr>
            <w:r w:rsidRPr="006A6497">
              <w:rPr>
                <w:rFonts w:ascii="Calibri" w:hAnsi="Calibri"/>
                <w:sz w:val="18"/>
                <w:szCs w:val="18"/>
              </w:rPr>
              <w:t>panele fotowoltaiczne</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0,020 – 0,050</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sz w:val="18"/>
                <w:szCs w:val="18"/>
              </w:rPr>
            </w:pPr>
            <w:r w:rsidRPr="006A6497">
              <w:rPr>
                <w:rFonts w:ascii="Calibri" w:hAnsi="Calibri"/>
                <w:sz w:val="18"/>
                <w:szCs w:val="18"/>
              </w:rPr>
              <w:t>energia wiatru</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0,007</w:t>
            </w:r>
          </w:p>
        </w:tc>
      </w:tr>
      <w:tr w:rsidR="00FB2534" w:rsidRPr="006A6497" w:rsidTr="001D6A64">
        <w:trPr>
          <w:cantSplit/>
          <w:trHeight w:val="227"/>
          <w:jc w:val="center"/>
        </w:trPr>
        <w:tc>
          <w:tcPr>
            <w:tcW w:w="3221" w:type="dxa"/>
            <w:tcBorders>
              <w:top w:val="nil"/>
              <w:left w:val="single" w:sz="8" w:space="0" w:color="000000"/>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rPr>
                <w:rFonts w:ascii="Calibri" w:hAnsi="Calibri"/>
                <w:sz w:val="18"/>
                <w:szCs w:val="18"/>
              </w:rPr>
            </w:pPr>
            <w:r w:rsidRPr="006A6497">
              <w:rPr>
                <w:rFonts w:ascii="Calibri" w:hAnsi="Calibri"/>
                <w:sz w:val="18"/>
                <w:szCs w:val="18"/>
              </w:rPr>
              <w:t>energia wód powierzchniowych</w:t>
            </w:r>
          </w:p>
        </w:tc>
        <w:tc>
          <w:tcPr>
            <w:tcW w:w="2692"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w:t>
            </w:r>
          </w:p>
        </w:tc>
        <w:tc>
          <w:tcPr>
            <w:tcW w:w="2969"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FB2534" w:rsidRPr="006A6497" w:rsidRDefault="00FB2534" w:rsidP="001D6A64">
            <w:pPr>
              <w:jc w:val="center"/>
              <w:rPr>
                <w:rFonts w:ascii="Calibri" w:hAnsi="Calibri"/>
                <w:sz w:val="18"/>
                <w:szCs w:val="18"/>
              </w:rPr>
            </w:pPr>
            <w:r w:rsidRPr="006A6497">
              <w:rPr>
                <w:rFonts w:ascii="Calibri" w:hAnsi="Calibri"/>
                <w:sz w:val="18"/>
                <w:szCs w:val="18"/>
              </w:rPr>
              <w:t>0,024</w:t>
            </w:r>
          </w:p>
        </w:tc>
      </w:tr>
    </w:tbl>
    <w:p w:rsidR="00FB2534" w:rsidRDefault="00FB2534" w:rsidP="00E53A06">
      <w:pPr>
        <w:pStyle w:val="GOMnormal"/>
      </w:pPr>
      <w:r>
        <w:t>Emisje gazów cieplarnianych, innych niż CO</w:t>
      </w:r>
      <w:r w:rsidRPr="00413D81">
        <w:rPr>
          <w:vertAlign w:val="subscript"/>
        </w:rPr>
        <w:t>2</w:t>
      </w:r>
      <w:r>
        <w:t>, podawane są w przeliczeniu na ekwiwalent CO</w:t>
      </w:r>
      <w:r w:rsidRPr="006A6497">
        <w:rPr>
          <w:vertAlign w:val="subscript"/>
        </w:rPr>
        <w:t>2</w:t>
      </w:r>
      <w:r>
        <w:t xml:space="preserve"> według wytycznych IPCC.</w:t>
      </w:r>
    </w:p>
    <w:p w:rsidR="00FB2534" w:rsidRDefault="00FB2534" w:rsidP="00E53A06">
      <w:pPr>
        <w:pStyle w:val="GOMpowyr"/>
      </w:pPr>
      <w:r>
        <w:t>Zakres inwentaryzacji na potrzeby określenia energii finalnej</w:t>
      </w:r>
    </w:p>
    <w:p w:rsidR="00FB2534" w:rsidRDefault="00FB2534" w:rsidP="00E53A06">
      <w:pPr>
        <w:pStyle w:val="GOMnormal"/>
      </w:pPr>
      <w:r w:rsidRPr="0045167B">
        <w:t>Celem inwentaryzacji było określenie wielkości emisji CO</w:t>
      </w:r>
      <w:r w:rsidRPr="0045167B">
        <w:rPr>
          <w:vertAlign w:val="subscript"/>
        </w:rPr>
        <w:t>2</w:t>
      </w:r>
      <w:r w:rsidRPr="0045167B">
        <w:t xml:space="preserve"> z obszaru miast i gmin tak, aby umożliwić zaprojektowanie działań służących jej ograniczeniu. Dlatego też w inwentaryzacji bardziej szczegółowo rozpatruje się wielkości emisji z sektorów w większym stopniu regulowanych przez gminy, miasta (tam gdzie polityka władz gmin może wpłynąć na wielkość emisji w sposób realny). </w:t>
      </w:r>
    </w:p>
    <w:p w:rsidR="00FB2534" w:rsidRDefault="00FB2534" w:rsidP="00E53A06">
      <w:pPr>
        <w:pStyle w:val="GOMnormal"/>
      </w:pPr>
      <w:r>
        <w:t>Inwentaryzacją objęte były wszystkie emisje gazów cieplarnianych wynikające ze zużycia energii finalnej na terenie miast i gmin tworzących GOM. Poprzez zużycie energii finalnej rozumie się zużycie:</w:t>
      </w:r>
    </w:p>
    <w:p w:rsidR="00FB2534" w:rsidRDefault="00FB2534" w:rsidP="00407562">
      <w:pPr>
        <w:pStyle w:val="GOMwypkt"/>
        <w:numPr>
          <w:ilvl w:val="0"/>
          <w:numId w:val="21"/>
        </w:numPr>
        <w:ind w:left="568" w:hanging="284"/>
      </w:pPr>
      <w:r>
        <w:t>energii paliw kopalnych (na potrzeby gospodarczo-bytowe, transportowe i przemysłowe),</w:t>
      </w:r>
    </w:p>
    <w:p w:rsidR="00FB2534" w:rsidRDefault="00FB2534" w:rsidP="00407562">
      <w:pPr>
        <w:pStyle w:val="GOMwypkt"/>
        <w:numPr>
          <w:ilvl w:val="0"/>
          <w:numId w:val="21"/>
        </w:numPr>
        <w:ind w:left="568" w:hanging="284"/>
      </w:pPr>
      <w:r>
        <w:t>ciepła sieciowego,</w:t>
      </w:r>
    </w:p>
    <w:p w:rsidR="00FB2534" w:rsidRDefault="00FB2534" w:rsidP="00407562">
      <w:pPr>
        <w:pStyle w:val="GOMwypkt"/>
        <w:numPr>
          <w:ilvl w:val="0"/>
          <w:numId w:val="21"/>
        </w:numPr>
        <w:ind w:left="568" w:hanging="284"/>
      </w:pPr>
      <w:r>
        <w:t>energii elektrycznej,</w:t>
      </w:r>
    </w:p>
    <w:p w:rsidR="00FB2534" w:rsidRDefault="00FB2534" w:rsidP="00407562">
      <w:pPr>
        <w:pStyle w:val="GOMwypkt"/>
        <w:numPr>
          <w:ilvl w:val="0"/>
          <w:numId w:val="21"/>
        </w:numPr>
        <w:ind w:left="568" w:hanging="284"/>
      </w:pPr>
      <w:r>
        <w:t>energii ze źródeł odnawialnych.</w:t>
      </w:r>
    </w:p>
    <w:p w:rsidR="00FB2534" w:rsidRDefault="00FB2534" w:rsidP="00E53A06">
      <w:pPr>
        <w:pStyle w:val="GOMnormal"/>
      </w:pPr>
      <w:r>
        <w:t xml:space="preserve">Ze względu na potrzebę uniknięcia podwójnego liczenia emisji, z inwentaryzacji wyłączony został przemysł (także duże źródła spalania) objęty unijnym systemem handlu uprawnieniami do emisji </w:t>
      </w:r>
      <w:r w:rsidRPr="004B5AFA">
        <w:t>gazów cieplarnianych</w:t>
      </w:r>
      <w:r>
        <w:t xml:space="preserve"> (EU ETS), obejmujący CO</w:t>
      </w:r>
      <w:r w:rsidRPr="00AE60A0">
        <w:rPr>
          <w:vertAlign w:val="subscript"/>
        </w:rPr>
        <w:t>2</w:t>
      </w:r>
      <w:r>
        <w:t>. System ten jest narzędziem służącym redukcji emisji gazów cieplarnianych ze źródeł przemysłowych nim objętych, dlatego też nie ma potrzeby włączania tych źródeł do planu działań.</w:t>
      </w:r>
    </w:p>
    <w:p w:rsidR="00FB2534" w:rsidRDefault="00FB2534" w:rsidP="00E53A06">
      <w:pPr>
        <w:pStyle w:val="GOMnormal"/>
      </w:pPr>
      <w:r>
        <w:t>W grupie tej ujęte zostały emisje pochodzące ze zużycia energii elektrycznej i cieplnej oraz paliw (olej opałowy, węgiel, koks, gaz ziemny) z działalności przemysłowej na terenie gmin objętych Planem.</w:t>
      </w:r>
    </w:p>
    <w:p w:rsidR="00FB2534" w:rsidRDefault="00FB2534" w:rsidP="00E53A06">
      <w:pPr>
        <w:pStyle w:val="GOMpowyr"/>
      </w:pPr>
      <w:r>
        <w:t>Wskaźniki emisji CO</w:t>
      </w:r>
      <w:r w:rsidRPr="00413D81">
        <w:rPr>
          <w:vertAlign w:val="subscript"/>
        </w:rPr>
        <w:t>2</w:t>
      </w:r>
    </w:p>
    <w:p w:rsidR="00FB2534" w:rsidRDefault="00FB2534" w:rsidP="00E53A06">
      <w:pPr>
        <w:pStyle w:val="GOMnormal"/>
      </w:pPr>
      <w:r>
        <w:t>Dla określenia wielkości emisji zostały przyjęte standardowe wskaźniki emisji. Wskaźniki te nie oddawały pełnej wielkości emisji wynikającej z cyklu życia produktów i usług (metodologia LCA), charakteryzowały się jednak większą dokładnością wyznaczenia emisji:</w:t>
      </w:r>
    </w:p>
    <w:p w:rsidR="00FB2534" w:rsidRDefault="00FB2534" w:rsidP="00407562">
      <w:pPr>
        <w:pStyle w:val="GOMwypkt"/>
        <w:numPr>
          <w:ilvl w:val="0"/>
          <w:numId w:val="21"/>
        </w:numPr>
        <w:ind w:left="568" w:hanging="284"/>
      </w:pPr>
      <w:r>
        <w:t>dla paliw kopalnych (węgiel kamienny, brunatny i koks, olej opałowy oraz gaz ziemny) – zostały przyjęte wskaźniki emisji stosowane w EU ETS, zweryfikowane dla roku 2005;</w:t>
      </w:r>
    </w:p>
    <w:p w:rsidR="00FB2534" w:rsidRDefault="00FB2534" w:rsidP="00407562">
      <w:pPr>
        <w:pStyle w:val="GOMwypkt"/>
        <w:numPr>
          <w:ilvl w:val="0"/>
          <w:numId w:val="21"/>
        </w:numPr>
        <w:ind w:left="568" w:hanging="284"/>
      </w:pPr>
      <w:r>
        <w:t>dla paliw płynnych stosowanych w transporcie (benzyna, olej napędowy) zostały zastosowane najnowsze wskaźniki emisji z raportu Krajowej Inwentaryzacji Emisji Gazów Cieplarnianych; wskaźniki uwzględniają emisję CO</w:t>
      </w:r>
      <w:r w:rsidRPr="00AE60A0">
        <w:rPr>
          <w:vertAlign w:val="subscript"/>
        </w:rPr>
        <w:t>2</w:t>
      </w:r>
      <w:r>
        <w:t>, metanu (CH</w:t>
      </w:r>
      <w:r w:rsidRPr="00AE60A0">
        <w:rPr>
          <w:vertAlign w:val="subscript"/>
        </w:rPr>
        <w:t>4</w:t>
      </w:r>
      <w:r>
        <w:t>) oraz podtlenku azotu (N</w:t>
      </w:r>
      <w:r w:rsidRPr="00AE60A0">
        <w:rPr>
          <w:vertAlign w:val="subscript"/>
        </w:rPr>
        <w:t>2</w:t>
      </w:r>
      <w:r>
        <w:t>O);</w:t>
      </w:r>
    </w:p>
    <w:p w:rsidR="00FB2534" w:rsidRDefault="00FB2534" w:rsidP="00407562">
      <w:pPr>
        <w:pStyle w:val="GOMwypkt"/>
        <w:numPr>
          <w:ilvl w:val="0"/>
          <w:numId w:val="21"/>
        </w:numPr>
        <w:ind w:left="568" w:hanging="284"/>
      </w:pPr>
      <w:r>
        <w:t>dla energii elektrycznej został przyjęty wskaźnik 0,812 Mg CO</w:t>
      </w:r>
      <w:r w:rsidRPr="00AE60A0">
        <w:rPr>
          <w:vertAlign w:val="subscript"/>
        </w:rPr>
        <w:t>2</w:t>
      </w:r>
      <w:r>
        <w:t>/MWh (reprezentatywny dla sektora energetyki zawodowej – opartej na węglu kamiennym i brunatnym, z niewielkim udziałem biomasy). Założono, że w kolejnych latach inwentaryzacji wskaźnik pozostanie niezmieniony, pomimo wzrastającego w niewielkim stopniu udziału energii ze źródeł odnawialnych w energii elektrycznej sieciowej;</w:t>
      </w:r>
    </w:p>
    <w:p w:rsidR="00FB2534" w:rsidRDefault="00FB2534" w:rsidP="00407562">
      <w:pPr>
        <w:pStyle w:val="GOMwypkt"/>
        <w:numPr>
          <w:ilvl w:val="0"/>
          <w:numId w:val="21"/>
        </w:numPr>
        <w:ind w:left="568" w:hanging="284"/>
      </w:pPr>
      <w:r>
        <w:t>dla ciepła sieciowego przyjęty został średni, referencyjny wskaźnik emisji (za KOBIZE) 0,332 MgCO</w:t>
      </w:r>
      <w:r w:rsidRPr="00AE60A0">
        <w:rPr>
          <w:vertAlign w:val="subscript"/>
        </w:rPr>
        <w:t>2</w:t>
      </w:r>
      <w:r>
        <w:t>/MWh ciepła sieciowego.</w:t>
      </w:r>
    </w:p>
    <w:p w:rsidR="00FB2534" w:rsidRDefault="00FB2534" w:rsidP="00E53A06">
      <w:pPr>
        <w:pStyle w:val="GOMnormal"/>
      </w:pPr>
      <w:r>
        <w:t>Wskaźniki emisji dla energii elektrycznej i ciepła, które zostały wykorzystane do inwentaryzacji przedstawiono w tabeli poniżej.</w:t>
      </w:r>
    </w:p>
    <w:p w:rsidR="00FB2534" w:rsidRDefault="00FB2534" w:rsidP="00E53A06">
      <w:pPr>
        <w:pStyle w:val="GOMpodpistab"/>
      </w:pPr>
      <w:bookmarkStart w:id="116" w:name="_Toc414231804"/>
      <w:bookmarkStart w:id="117" w:name="_Toc417154427"/>
      <w:bookmarkStart w:id="118" w:name="_Toc418239442"/>
      <w:bookmarkStart w:id="119" w:name="_Toc421054487"/>
      <w:bookmarkStart w:id="120" w:name="_Toc422135095"/>
      <w:r>
        <w:t xml:space="preserve">Tabela </w:t>
      </w:r>
      <w:r>
        <w:fldChar w:fldCharType="begin"/>
      </w:r>
      <w:r>
        <w:instrText xml:space="preserve"> SEQ Tabela \* ARABIC </w:instrText>
      </w:r>
      <w:r>
        <w:fldChar w:fldCharType="separate"/>
      </w:r>
      <w:r>
        <w:rPr>
          <w:noProof/>
        </w:rPr>
        <w:t>2</w:t>
      </w:r>
      <w:r>
        <w:fldChar w:fldCharType="end"/>
      </w:r>
      <w:r>
        <w:t xml:space="preserve">. </w:t>
      </w:r>
      <w:r w:rsidRPr="008E100F">
        <w:t xml:space="preserve">Wskaźniki emisji </w:t>
      </w:r>
      <w:r>
        <w:t>CO</w:t>
      </w:r>
      <w:r w:rsidRPr="00583328">
        <w:rPr>
          <w:vertAlign w:val="subscript"/>
        </w:rPr>
        <w:t>2</w:t>
      </w:r>
      <w:r>
        <w:t xml:space="preserve"> </w:t>
      </w:r>
      <w:r w:rsidRPr="008E100F">
        <w:t>dla energii elektrycznej i ciepła sieciowego przyjęte do obliczeń emisji</w:t>
      </w:r>
      <w:bookmarkEnd w:id="116"/>
      <w:bookmarkEnd w:id="117"/>
      <w:bookmarkEnd w:id="118"/>
      <w:bookmarkEnd w:id="119"/>
      <w:bookmarkEnd w:id="120"/>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0A0" w:firstRow="1" w:lastRow="0" w:firstColumn="1" w:lastColumn="0" w:noHBand="0" w:noVBand="0"/>
      </w:tblPr>
      <w:tblGrid>
        <w:gridCol w:w="2519"/>
        <w:gridCol w:w="1194"/>
        <w:gridCol w:w="2200"/>
        <w:gridCol w:w="2794"/>
      </w:tblGrid>
      <w:tr w:rsidR="00FB2534" w:rsidRPr="00EA0276" w:rsidTr="00AC1CBB">
        <w:trPr>
          <w:cantSplit/>
          <w:trHeight w:val="227"/>
          <w:tblHeader/>
          <w:jc w:val="center"/>
        </w:trPr>
        <w:tc>
          <w:tcPr>
            <w:tcW w:w="2518"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Rodzaj wskaźnika</w:t>
            </w:r>
          </w:p>
        </w:tc>
        <w:tc>
          <w:tcPr>
            <w:tcW w:w="1194"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Rok</w:t>
            </w:r>
          </w:p>
        </w:tc>
        <w:tc>
          <w:tcPr>
            <w:tcW w:w="2199"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Wskaźnik emisji</w:t>
            </w:r>
            <w:r w:rsidRPr="00AC1CBB">
              <w:rPr>
                <w:rFonts w:ascii="Calibri" w:hAnsi="Calibri"/>
                <w:b/>
                <w:sz w:val="18"/>
                <w:szCs w:val="18"/>
                <w:lang w:eastAsia="en-US"/>
              </w:rPr>
              <w:br/>
              <w:t>[MgCO</w:t>
            </w:r>
            <w:r w:rsidRPr="00AC1CBB">
              <w:rPr>
                <w:rFonts w:ascii="Calibri" w:hAnsi="Calibri"/>
                <w:b/>
                <w:sz w:val="18"/>
                <w:szCs w:val="18"/>
                <w:vertAlign w:val="subscript"/>
                <w:lang w:eastAsia="en-US"/>
              </w:rPr>
              <w:t>2</w:t>
            </w:r>
            <w:r w:rsidRPr="00AC1CBB">
              <w:rPr>
                <w:rFonts w:ascii="Calibri" w:hAnsi="Calibri"/>
                <w:b/>
                <w:sz w:val="18"/>
                <w:szCs w:val="18"/>
                <w:lang w:eastAsia="en-US"/>
              </w:rPr>
              <w:t>/MWh]</w:t>
            </w:r>
          </w:p>
        </w:tc>
        <w:tc>
          <w:tcPr>
            <w:tcW w:w="2793"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Źródło</w:t>
            </w:r>
          </w:p>
        </w:tc>
      </w:tr>
      <w:tr w:rsidR="00FB2534" w:rsidRPr="006A4FD8" w:rsidTr="00AC1CBB">
        <w:trPr>
          <w:cantSplit/>
          <w:trHeight w:val="227"/>
          <w:jc w:val="center"/>
        </w:trPr>
        <w:tc>
          <w:tcPr>
            <w:tcW w:w="2518" w:type="dxa"/>
            <w:vMerge w:val="restart"/>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Energia elektryczna</w:t>
            </w:r>
          </w:p>
        </w:tc>
        <w:tc>
          <w:tcPr>
            <w:tcW w:w="1194"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2013</w:t>
            </w:r>
          </w:p>
        </w:tc>
        <w:tc>
          <w:tcPr>
            <w:tcW w:w="2199" w:type="dxa"/>
            <w:vAlign w:val="center"/>
          </w:tcPr>
          <w:p w:rsidR="00FB2534" w:rsidRPr="00AC1CBB" w:rsidRDefault="00FB2534" w:rsidP="00AC1CBB">
            <w:pPr>
              <w:ind w:right="681"/>
              <w:jc w:val="right"/>
              <w:rPr>
                <w:rFonts w:ascii="Calibri" w:hAnsi="Calibri"/>
                <w:sz w:val="18"/>
                <w:szCs w:val="18"/>
                <w:lang w:eastAsia="en-US"/>
              </w:rPr>
            </w:pPr>
            <w:r w:rsidRPr="00AC1CBB">
              <w:rPr>
                <w:rFonts w:ascii="Calibri" w:hAnsi="Calibri"/>
                <w:sz w:val="18"/>
                <w:szCs w:val="18"/>
                <w:lang w:eastAsia="en-US"/>
              </w:rPr>
              <w:t>0,812</w:t>
            </w:r>
          </w:p>
        </w:tc>
        <w:tc>
          <w:tcPr>
            <w:tcW w:w="2793" w:type="dxa"/>
            <w:vMerge w:val="restart"/>
            <w:vAlign w:val="center"/>
          </w:tcPr>
          <w:p w:rsidR="00FB2534" w:rsidRPr="00AC1CBB" w:rsidRDefault="00FB2534" w:rsidP="00AC1CBB">
            <w:pPr>
              <w:autoSpaceDE w:val="0"/>
              <w:autoSpaceDN w:val="0"/>
              <w:adjustRightInd w:val="0"/>
              <w:rPr>
                <w:rFonts w:ascii="Calibri" w:hAnsi="Calibri" w:cs="Calibri"/>
                <w:sz w:val="18"/>
                <w:szCs w:val="18"/>
                <w:lang w:eastAsia="en-US"/>
              </w:rPr>
            </w:pPr>
            <w:r w:rsidRPr="00AC1CBB">
              <w:rPr>
                <w:rFonts w:ascii="Calibri" w:hAnsi="Calibri" w:cs="Calibri"/>
                <w:sz w:val="18"/>
                <w:szCs w:val="18"/>
                <w:lang w:eastAsia="en-US"/>
              </w:rPr>
              <w:t>KOBIZE ‐ Referencyjny wskaźnik jednostkowej emisyjności dwutlenku węgla przy produkcji energii elektrycznej do wyznaczania poziomu bazowego dla projektów JI realizowanych w Polsce</w:t>
            </w:r>
          </w:p>
        </w:tc>
      </w:tr>
      <w:tr w:rsidR="00FB2534" w:rsidRPr="006A4FD8" w:rsidTr="00AC1CBB">
        <w:trPr>
          <w:cantSplit/>
          <w:trHeight w:val="227"/>
          <w:jc w:val="center"/>
        </w:trPr>
        <w:tc>
          <w:tcPr>
            <w:tcW w:w="2518" w:type="dxa"/>
            <w:vMerge/>
            <w:tcBorders>
              <w:bottom w:val="single" w:sz="4" w:space="0" w:color="auto"/>
            </w:tcBorders>
            <w:vAlign w:val="center"/>
          </w:tcPr>
          <w:p w:rsidR="00FB2534" w:rsidRPr="00AC1CBB" w:rsidRDefault="00FB2534" w:rsidP="00AC1CBB">
            <w:pPr>
              <w:jc w:val="center"/>
              <w:rPr>
                <w:rFonts w:ascii="Calibri" w:hAnsi="Calibri"/>
                <w:sz w:val="18"/>
                <w:szCs w:val="18"/>
                <w:lang w:eastAsia="en-US"/>
              </w:rPr>
            </w:pPr>
          </w:p>
        </w:tc>
        <w:tc>
          <w:tcPr>
            <w:tcW w:w="1194" w:type="dxa"/>
            <w:tcBorders>
              <w:bottom w:val="single" w:sz="4" w:space="0" w:color="auto"/>
            </w:tcBorders>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2020</w:t>
            </w:r>
          </w:p>
        </w:tc>
        <w:tc>
          <w:tcPr>
            <w:tcW w:w="2199" w:type="dxa"/>
            <w:vAlign w:val="center"/>
          </w:tcPr>
          <w:p w:rsidR="00FB2534" w:rsidRPr="00AC1CBB" w:rsidRDefault="00FB2534" w:rsidP="00AC1CBB">
            <w:pPr>
              <w:ind w:right="681"/>
              <w:jc w:val="right"/>
              <w:rPr>
                <w:rFonts w:ascii="Calibri" w:hAnsi="Calibri"/>
                <w:sz w:val="18"/>
                <w:szCs w:val="18"/>
                <w:lang w:eastAsia="en-US"/>
              </w:rPr>
            </w:pPr>
            <w:r w:rsidRPr="00AC1CBB">
              <w:rPr>
                <w:rFonts w:ascii="Calibri" w:hAnsi="Calibri"/>
                <w:sz w:val="18"/>
                <w:szCs w:val="18"/>
                <w:lang w:eastAsia="en-US"/>
              </w:rPr>
              <w:t>0,812</w:t>
            </w:r>
          </w:p>
        </w:tc>
        <w:tc>
          <w:tcPr>
            <w:tcW w:w="2793" w:type="dxa"/>
            <w:vMerge/>
            <w:vAlign w:val="center"/>
          </w:tcPr>
          <w:p w:rsidR="00FB2534" w:rsidRPr="00AC1CBB" w:rsidRDefault="00FB2534" w:rsidP="00AC1CBB">
            <w:pPr>
              <w:jc w:val="center"/>
              <w:rPr>
                <w:rFonts w:ascii="Calibri" w:hAnsi="Calibri"/>
                <w:sz w:val="18"/>
                <w:szCs w:val="18"/>
                <w:lang w:eastAsia="en-US"/>
              </w:rPr>
            </w:pPr>
          </w:p>
        </w:tc>
      </w:tr>
      <w:tr w:rsidR="00FB2534" w:rsidRPr="006A4FD8" w:rsidTr="00AC1CBB">
        <w:trPr>
          <w:cantSplit/>
          <w:trHeight w:val="227"/>
          <w:jc w:val="center"/>
        </w:trPr>
        <w:tc>
          <w:tcPr>
            <w:tcW w:w="2518" w:type="dxa"/>
            <w:vMerge w:val="restart"/>
            <w:tcBorders>
              <w:top w:val="single" w:sz="4" w:space="0" w:color="auto"/>
            </w:tcBorders>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Ciepło sieciowe</w:t>
            </w:r>
          </w:p>
        </w:tc>
        <w:tc>
          <w:tcPr>
            <w:tcW w:w="1194" w:type="dxa"/>
            <w:tcBorders>
              <w:top w:val="single" w:sz="4" w:space="0" w:color="auto"/>
            </w:tcBorders>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2013</w:t>
            </w:r>
          </w:p>
        </w:tc>
        <w:tc>
          <w:tcPr>
            <w:tcW w:w="2199" w:type="dxa"/>
            <w:vAlign w:val="center"/>
          </w:tcPr>
          <w:p w:rsidR="00FB2534" w:rsidRPr="00AC1CBB" w:rsidRDefault="00FB2534" w:rsidP="00AC1CBB">
            <w:pPr>
              <w:ind w:right="681"/>
              <w:jc w:val="right"/>
              <w:rPr>
                <w:rFonts w:ascii="Calibri" w:hAnsi="Calibri"/>
                <w:sz w:val="18"/>
                <w:szCs w:val="18"/>
                <w:lang w:eastAsia="en-US"/>
              </w:rPr>
            </w:pPr>
            <w:r w:rsidRPr="00AC1CBB">
              <w:rPr>
                <w:rFonts w:ascii="Calibri" w:hAnsi="Calibri"/>
                <w:sz w:val="18"/>
                <w:szCs w:val="18"/>
                <w:lang w:eastAsia="en-US"/>
              </w:rPr>
              <w:t>0,332</w:t>
            </w:r>
          </w:p>
        </w:tc>
        <w:tc>
          <w:tcPr>
            <w:tcW w:w="2793"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KOBIZE</w:t>
            </w:r>
          </w:p>
        </w:tc>
      </w:tr>
      <w:tr w:rsidR="00FB2534" w:rsidRPr="006A4FD8" w:rsidTr="00AC1CBB">
        <w:trPr>
          <w:cantSplit/>
          <w:trHeight w:val="227"/>
          <w:jc w:val="center"/>
        </w:trPr>
        <w:tc>
          <w:tcPr>
            <w:tcW w:w="2518" w:type="dxa"/>
            <w:vMerge/>
            <w:vAlign w:val="center"/>
          </w:tcPr>
          <w:p w:rsidR="00FB2534" w:rsidRPr="00AC1CBB" w:rsidRDefault="00FB2534" w:rsidP="00AC1CBB">
            <w:pPr>
              <w:jc w:val="center"/>
              <w:rPr>
                <w:rFonts w:ascii="Calibri" w:hAnsi="Calibri"/>
                <w:sz w:val="18"/>
                <w:szCs w:val="18"/>
                <w:lang w:eastAsia="en-US"/>
              </w:rPr>
            </w:pPr>
          </w:p>
        </w:tc>
        <w:tc>
          <w:tcPr>
            <w:tcW w:w="1194"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2020</w:t>
            </w:r>
          </w:p>
        </w:tc>
        <w:tc>
          <w:tcPr>
            <w:tcW w:w="2199" w:type="dxa"/>
            <w:vAlign w:val="center"/>
          </w:tcPr>
          <w:p w:rsidR="00FB2534" w:rsidRPr="00AC1CBB" w:rsidRDefault="00FB2534" w:rsidP="00AC1CBB">
            <w:pPr>
              <w:ind w:right="681"/>
              <w:jc w:val="right"/>
              <w:rPr>
                <w:rFonts w:ascii="Calibri" w:hAnsi="Calibri"/>
                <w:sz w:val="18"/>
                <w:szCs w:val="18"/>
                <w:lang w:eastAsia="en-US"/>
              </w:rPr>
            </w:pPr>
            <w:r w:rsidRPr="00AC1CBB">
              <w:rPr>
                <w:rFonts w:ascii="Calibri" w:hAnsi="Calibri"/>
                <w:sz w:val="18"/>
                <w:szCs w:val="18"/>
                <w:lang w:eastAsia="en-US"/>
              </w:rPr>
              <w:t>0,332</w:t>
            </w:r>
          </w:p>
        </w:tc>
        <w:tc>
          <w:tcPr>
            <w:tcW w:w="2793"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KOBIZE</w:t>
            </w:r>
          </w:p>
        </w:tc>
      </w:tr>
      <w:tr w:rsidR="00FB2534" w:rsidRPr="006A4FD8" w:rsidTr="00AC1CBB">
        <w:trPr>
          <w:cantSplit/>
          <w:trHeight w:val="227"/>
          <w:jc w:val="center"/>
        </w:trPr>
        <w:tc>
          <w:tcPr>
            <w:tcW w:w="2518"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Energia ze źródeł odnawialnych</w:t>
            </w:r>
          </w:p>
        </w:tc>
        <w:tc>
          <w:tcPr>
            <w:tcW w:w="1194"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2013-2020</w:t>
            </w:r>
          </w:p>
        </w:tc>
        <w:tc>
          <w:tcPr>
            <w:tcW w:w="2199" w:type="dxa"/>
            <w:vAlign w:val="center"/>
          </w:tcPr>
          <w:p w:rsidR="00FB2534" w:rsidRPr="00AC1CBB" w:rsidRDefault="00FB2534" w:rsidP="00AC1CBB">
            <w:pPr>
              <w:ind w:right="681"/>
              <w:jc w:val="right"/>
              <w:rPr>
                <w:rFonts w:ascii="Calibri" w:hAnsi="Calibri"/>
                <w:sz w:val="18"/>
                <w:szCs w:val="18"/>
                <w:lang w:eastAsia="en-US"/>
              </w:rPr>
            </w:pPr>
            <w:r w:rsidRPr="00AC1CBB">
              <w:rPr>
                <w:rFonts w:ascii="Calibri" w:hAnsi="Calibri"/>
                <w:sz w:val="18"/>
                <w:szCs w:val="18"/>
                <w:lang w:eastAsia="en-US"/>
              </w:rPr>
              <w:t>0,000</w:t>
            </w:r>
          </w:p>
        </w:tc>
        <w:tc>
          <w:tcPr>
            <w:tcW w:w="2793" w:type="dxa"/>
            <w:vAlign w:val="center"/>
          </w:tcPr>
          <w:p w:rsidR="00FB2534" w:rsidRPr="00AC1CBB" w:rsidRDefault="00FB2534" w:rsidP="00AC1CBB">
            <w:pPr>
              <w:jc w:val="center"/>
              <w:rPr>
                <w:rFonts w:ascii="Calibri" w:hAnsi="Calibri"/>
                <w:sz w:val="18"/>
                <w:szCs w:val="18"/>
                <w:lang w:eastAsia="en-US"/>
              </w:rPr>
            </w:pPr>
            <w:r w:rsidRPr="00AC1CBB">
              <w:rPr>
                <w:rFonts w:ascii="Calibri" w:hAnsi="Calibri"/>
                <w:sz w:val="18"/>
                <w:szCs w:val="18"/>
                <w:lang w:eastAsia="en-US"/>
              </w:rPr>
              <w:t>-</w:t>
            </w:r>
          </w:p>
        </w:tc>
      </w:tr>
    </w:tbl>
    <w:p w:rsidR="00FB2534" w:rsidRDefault="00FB2534" w:rsidP="00E53A06">
      <w:pPr>
        <w:pStyle w:val="GOMnormal"/>
      </w:pPr>
      <w:r w:rsidRPr="006A4FD8">
        <w:t>Dla energii elektrycznej zostały zaproponowane wskaźniki emisji podawane przez wytyczne Porozumienia (SEAP) dla Polski (rok 2013 i 2020</w:t>
      </w:r>
      <w:r>
        <w:t>), z</w:t>
      </w:r>
      <w:r w:rsidRPr="006A4FD8">
        <w:t>e względu na lokalny charakter produkcji i</w:t>
      </w:r>
      <w:r>
        <w:t> </w:t>
      </w:r>
      <w:r w:rsidRPr="00BE70B6">
        <w:t>dostaw ciepła do miejskiej sieci. Wskaźniki emisji dla pozostałych p</w:t>
      </w:r>
      <w:r>
        <w:t>aliw przyjęte zostały zgodnie z </w:t>
      </w:r>
      <w:r w:rsidRPr="00BE70B6">
        <w:t>wytycznymi, ich zestawienie znajduje się w kolejnej tabeli.</w:t>
      </w:r>
    </w:p>
    <w:p w:rsidR="00FB2534" w:rsidRDefault="00FB2534" w:rsidP="00E53A06">
      <w:pPr>
        <w:pStyle w:val="GOMpodpistab"/>
      </w:pPr>
      <w:bookmarkStart w:id="121" w:name="_Toc414231805"/>
      <w:bookmarkStart w:id="122" w:name="_Toc417154428"/>
      <w:bookmarkStart w:id="123" w:name="_Toc418239443"/>
      <w:bookmarkStart w:id="124" w:name="_Toc421054488"/>
      <w:bookmarkStart w:id="125" w:name="_Toc422135096"/>
      <w:r>
        <w:t xml:space="preserve">Tabela </w:t>
      </w:r>
      <w:r>
        <w:fldChar w:fldCharType="begin"/>
      </w:r>
      <w:r>
        <w:instrText xml:space="preserve"> SEQ Tabela \* ARABIC </w:instrText>
      </w:r>
      <w:r>
        <w:fldChar w:fldCharType="separate"/>
      </w:r>
      <w:r>
        <w:rPr>
          <w:noProof/>
        </w:rPr>
        <w:t>3</w:t>
      </w:r>
      <w:r>
        <w:fldChar w:fldCharType="end"/>
      </w:r>
      <w:r>
        <w:t xml:space="preserve">. </w:t>
      </w:r>
      <w:r w:rsidRPr="00E6392E">
        <w:t xml:space="preserve">Zestawienie wykorzystanych wskaźników emisji </w:t>
      </w:r>
      <w:r>
        <w:t>CO</w:t>
      </w:r>
      <w:r w:rsidRPr="00AB440E">
        <w:rPr>
          <w:vertAlign w:val="subscript"/>
        </w:rPr>
        <w:t>2</w:t>
      </w:r>
      <w:r>
        <w:t xml:space="preserve"> </w:t>
      </w:r>
      <w:r w:rsidRPr="00E6392E">
        <w:t>dla paliw</w:t>
      </w:r>
      <w:bookmarkEnd w:id="121"/>
      <w:bookmarkEnd w:id="122"/>
      <w:r>
        <w:t xml:space="preserve"> (źródło: „Jak opracować plan działań na rzecz zrównoważonej energii (SEAP)?”)</w:t>
      </w:r>
      <w:bookmarkEnd w:id="123"/>
      <w:bookmarkEnd w:id="124"/>
      <w:bookmarkEnd w:id="125"/>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0A0" w:firstRow="1" w:lastRow="0" w:firstColumn="1" w:lastColumn="0" w:noHBand="0" w:noVBand="0"/>
      </w:tblPr>
      <w:tblGrid>
        <w:gridCol w:w="3154"/>
        <w:gridCol w:w="2777"/>
        <w:gridCol w:w="2776"/>
      </w:tblGrid>
      <w:tr w:rsidR="00FB2534" w:rsidRPr="00EA0276" w:rsidTr="00AC1CBB">
        <w:trPr>
          <w:cantSplit/>
          <w:trHeight w:val="227"/>
          <w:tblHeader/>
          <w:jc w:val="center"/>
        </w:trPr>
        <w:tc>
          <w:tcPr>
            <w:tcW w:w="3153" w:type="dxa"/>
            <w:shd w:val="clear" w:color="auto" w:fill="D9D9D9"/>
            <w:vAlign w:val="center"/>
          </w:tcPr>
          <w:p w:rsidR="00FB2534" w:rsidRPr="00AC1CBB" w:rsidRDefault="00FB2534" w:rsidP="00AC1CBB">
            <w:pPr>
              <w:spacing w:before="100" w:beforeAutospacing="1"/>
              <w:jc w:val="center"/>
              <w:rPr>
                <w:rFonts w:ascii="Calibri" w:hAnsi="Calibri"/>
                <w:b/>
                <w:sz w:val="18"/>
                <w:szCs w:val="18"/>
                <w:lang w:eastAsia="en-US"/>
              </w:rPr>
            </w:pPr>
            <w:r w:rsidRPr="00AC1CBB">
              <w:rPr>
                <w:rFonts w:ascii="Calibri" w:hAnsi="Calibri"/>
                <w:b/>
                <w:sz w:val="18"/>
                <w:szCs w:val="18"/>
                <w:lang w:eastAsia="en-US"/>
              </w:rPr>
              <w:t>Rodzaj paliwa</w:t>
            </w:r>
          </w:p>
        </w:tc>
        <w:tc>
          <w:tcPr>
            <w:tcW w:w="2776" w:type="dxa"/>
            <w:shd w:val="clear" w:color="auto" w:fill="D9D9D9"/>
            <w:vAlign w:val="center"/>
          </w:tcPr>
          <w:p w:rsidR="00FB2534" w:rsidRPr="00AC1CBB" w:rsidRDefault="00FB2534" w:rsidP="00AC1CBB">
            <w:pPr>
              <w:spacing w:before="100" w:beforeAutospacing="1"/>
              <w:jc w:val="center"/>
              <w:rPr>
                <w:rFonts w:ascii="Calibri" w:hAnsi="Calibri"/>
                <w:b/>
                <w:sz w:val="18"/>
                <w:szCs w:val="18"/>
                <w:lang w:eastAsia="en-US"/>
              </w:rPr>
            </w:pPr>
            <w:r w:rsidRPr="00AC1CBB">
              <w:rPr>
                <w:rFonts w:ascii="Calibri" w:hAnsi="Calibri"/>
                <w:b/>
                <w:sz w:val="18"/>
                <w:szCs w:val="18"/>
                <w:lang w:eastAsia="en-US"/>
              </w:rPr>
              <w:t>Wartość opałowa</w:t>
            </w:r>
          </w:p>
        </w:tc>
        <w:tc>
          <w:tcPr>
            <w:tcW w:w="2775" w:type="dxa"/>
            <w:shd w:val="clear" w:color="auto" w:fill="D9D9D9"/>
            <w:vAlign w:val="center"/>
          </w:tcPr>
          <w:p w:rsidR="00FB2534" w:rsidRPr="00AC1CBB" w:rsidRDefault="00FB2534" w:rsidP="00AC1CBB">
            <w:pPr>
              <w:spacing w:before="100" w:beforeAutospacing="1"/>
              <w:jc w:val="center"/>
              <w:rPr>
                <w:rFonts w:ascii="Calibri" w:hAnsi="Calibri"/>
                <w:b/>
                <w:sz w:val="18"/>
                <w:szCs w:val="18"/>
                <w:lang w:eastAsia="en-US"/>
              </w:rPr>
            </w:pPr>
            <w:r w:rsidRPr="00AC1CBB">
              <w:rPr>
                <w:rFonts w:ascii="Calibri" w:hAnsi="Calibri"/>
                <w:b/>
                <w:sz w:val="18"/>
                <w:szCs w:val="18"/>
                <w:lang w:eastAsia="en-US"/>
              </w:rPr>
              <w:t>Wskaźnik emisji</w:t>
            </w:r>
            <w:r w:rsidRPr="00AC1CBB">
              <w:rPr>
                <w:rFonts w:ascii="Calibri" w:hAnsi="Calibri"/>
                <w:b/>
                <w:sz w:val="18"/>
                <w:szCs w:val="18"/>
                <w:lang w:eastAsia="en-US"/>
              </w:rPr>
              <w:br/>
              <w:t>[MgCO</w:t>
            </w:r>
            <w:r w:rsidRPr="00AC1CBB">
              <w:rPr>
                <w:rFonts w:ascii="Calibri" w:hAnsi="Calibri"/>
                <w:b/>
                <w:sz w:val="18"/>
                <w:szCs w:val="18"/>
                <w:vertAlign w:val="subscript"/>
                <w:lang w:eastAsia="en-US"/>
              </w:rPr>
              <w:t>2</w:t>
            </w:r>
            <w:r w:rsidRPr="00AC1CBB">
              <w:rPr>
                <w:rFonts w:ascii="Calibri" w:hAnsi="Calibri"/>
                <w:b/>
                <w:sz w:val="18"/>
                <w:szCs w:val="18"/>
                <w:lang w:eastAsia="en-US"/>
              </w:rPr>
              <w:t>/MWh]</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gaz naturalny</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36 MJ/m</w:t>
            </w:r>
            <w:r w:rsidRPr="00AC1CBB">
              <w:rPr>
                <w:rFonts w:ascii="Calibri" w:hAnsi="Calibri"/>
                <w:sz w:val="18"/>
                <w:szCs w:val="18"/>
                <w:vertAlign w:val="superscript"/>
                <w:lang w:eastAsia="en-US"/>
              </w:rPr>
              <w:t>3</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0,202</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olej opałowy</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40,19 MJ/kg</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0,276</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węgiel</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18,9 MJ/kg</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0,346</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benzyna</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44,3 MJ/kg</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0,249</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olej napędowy (Diesel)</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43,0 MJ/kg</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0,267</w:t>
            </w:r>
          </w:p>
        </w:tc>
      </w:tr>
      <w:tr w:rsidR="00FB2534" w:rsidRPr="00EA0276" w:rsidTr="00AC1CBB">
        <w:trPr>
          <w:cantSplit/>
          <w:trHeight w:val="227"/>
          <w:jc w:val="center"/>
        </w:trPr>
        <w:tc>
          <w:tcPr>
            <w:tcW w:w="3153" w:type="dxa"/>
            <w:vAlign w:val="center"/>
          </w:tcPr>
          <w:p w:rsidR="00FB2534" w:rsidRPr="00AC1CBB" w:rsidRDefault="00FB2534" w:rsidP="00AC1CBB">
            <w:pPr>
              <w:spacing w:before="100" w:beforeAutospacing="1"/>
              <w:rPr>
                <w:rFonts w:ascii="Calibri" w:hAnsi="Calibri"/>
                <w:sz w:val="18"/>
                <w:szCs w:val="18"/>
                <w:lang w:eastAsia="en-US"/>
              </w:rPr>
            </w:pPr>
            <w:r w:rsidRPr="00AC1CBB">
              <w:rPr>
                <w:rFonts w:ascii="Calibri" w:hAnsi="Calibri"/>
                <w:sz w:val="18"/>
                <w:szCs w:val="18"/>
                <w:lang w:eastAsia="en-US"/>
              </w:rPr>
              <w:t>LPG</w:t>
            </w:r>
          </w:p>
        </w:tc>
        <w:tc>
          <w:tcPr>
            <w:tcW w:w="2776" w:type="dxa"/>
            <w:vAlign w:val="center"/>
          </w:tcPr>
          <w:p w:rsidR="00FB2534" w:rsidRPr="00AC1CBB" w:rsidRDefault="00FB2534" w:rsidP="00AC1CBB">
            <w:pPr>
              <w:spacing w:before="100" w:beforeAutospacing="1"/>
              <w:ind w:right="372"/>
              <w:jc w:val="right"/>
              <w:rPr>
                <w:rFonts w:ascii="Calibri" w:hAnsi="Calibri"/>
                <w:sz w:val="18"/>
                <w:szCs w:val="18"/>
                <w:lang w:eastAsia="en-US"/>
              </w:rPr>
            </w:pPr>
            <w:r w:rsidRPr="00AC1CBB">
              <w:rPr>
                <w:rFonts w:ascii="Calibri" w:hAnsi="Calibri"/>
                <w:sz w:val="18"/>
                <w:szCs w:val="18"/>
                <w:lang w:eastAsia="en-US"/>
              </w:rPr>
              <w:t>47,3 MJ/kg</w:t>
            </w:r>
          </w:p>
        </w:tc>
        <w:tc>
          <w:tcPr>
            <w:tcW w:w="2775" w:type="dxa"/>
            <w:vAlign w:val="center"/>
          </w:tcPr>
          <w:p w:rsidR="00FB2534" w:rsidRPr="00AC1CBB" w:rsidRDefault="00FB2534" w:rsidP="00AC1CBB">
            <w:pPr>
              <w:spacing w:before="100" w:beforeAutospacing="1"/>
              <w:ind w:right="513"/>
              <w:jc w:val="right"/>
              <w:rPr>
                <w:rFonts w:ascii="Calibri" w:hAnsi="Calibri"/>
                <w:sz w:val="18"/>
                <w:szCs w:val="18"/>
                <w:lang w:eastAsia="en-US"/>
              </w:rPr>
            </w:pPr>
            <w:r w:rsidRPr="00AC1CBB">
              <w:rPr>
                <w:rFonts w:ascii="Calibri" w:hAnsi="Calibri"/>
                <w:sz w:val="18"/>
                <w:szCs w:val="18"/>
                <w:lang w:eastAsia="en-US"/>
              </w:rPr>
              <w:t>0,227</w:t>
            </w:r>
          </w:p>
        </w:tc>
      </w:tr>
    </w:tbl>
    <w:p w:rsidR="00FB2534" w:rsidRDefault="00FB2534" w:rsidP="00E53A06">
      <w:pPr>
        <w:pStyle w:val="GOMpowyr"/>
      </w:pPr>
      <w:r>
        <w:t>Metodologia obliczeń</w:t>
      </w:r>
    </w:p>
    <w:p w:rsidR="00FB2534" w:rsidRDefault="00FB2534" w:rsidP="00E53A06">
      <w:pPr>
        <w:pStyle w:val="GOMnormal"/>
      </w:pPr>
      <w:r>
        <w:t>Obliczenia wielkości emisji wykonano za pomocą arkuszy kalkulacyjnych. Do obliczeń wykorzystano podstawowy wzór obliczeniowy:</w:t>
      </w:r>
    </w:p>
    <w:p w:rsidR="00FB2534" w:rsidRDefault="00FB2534" w:rsidP="00E53A06">
      <w:pPr>
        <w:pStyle w:val="GOMnormal"/>
      </w:pPr>
      <w:r>
        <w:pict>
          <v:shape id="_x0000_i1030" type="#_x0000_t75" style="width:1in;height:12.75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5832&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9A5832&quot; wsp:rsidRDefault=&quot;009A5832&quot; wsp:rsidP=&quot;009A5832&quot;&gt;&lt;m:oMathPara&gt;&lt;m:oMath&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E&lt;/m:t&gt;&lt;/m:r&gt;&lt;/m:e&gt;&lt;m:sub&gt;&lt;m:sSub&gt;&lt;m:sSubPr&gt;&lt;m:ctrlPr&gt;&lt;w:rPr&gt;&lt;w:rFonts w:ascii=&quot;Cambria Math&quot; w:h-ansi=&quot;Cambria Math&quot;/&gt;&lt;wx:font wx:val=&quot;Cambria Math&quot;/&gt;&lt;w:i/&gt;&lt;/w:rPr&gt;&lt;/m:ctrlPr&gt;&lt;/m:sSubPr&gt;&lt;m:e&gt;&lt;m:r&gt;&lt;w:rPr&gt;&lt;w:rFonts w:ascii=&quot;Cambria Math&quot; w:h-ansi=&quot;Cambria Math&quot;/&gt;&lt;wx:font wx:val=&quot;Cambria Math&quot;/&gt;&lt;w:i/&gt;&lt;/w:rPr&gt;&lt;m:t&gt;CO&lt;/m:t&gt;&lt;/m:r&gt;&lt;/m:e&gt;&lt;m:sub&gt;&lt;m:r&gt;&lt;w:rPr&gt;&lt;w:rFonts w:ascii=&quot;Cambria Math&quot; w:h-ansi=&quot;Cambria Math&quot;/&gt;&lt;wx:font wx:val=&quot;Cambria Math&quot;/&gt;&lt;w:i/&gt;&lt;/w:rPr&gt;&lt;m:t&gt;2&lt;/m:t&gt;&lt;/m:r&gt;&lt;/m:sub&gt;&lt;/m:sSub&gt;&lt;/m:sub&gt;&lt;/m:sSub&gt;&lt;m:r&gt;&lt;w:rPr&gt;&lt;w:rFonts w:ascii=&quot;Cambria Math&quot; w:h-ansi=&quot;Cambria Math&quot;/&gt;&lt;wx:font wx:val=&quot;Cambria Math&quot;/&gt;&lt;w:i/&gt;&lt;/w:rPr&gt;&lt;m:t&gt;=CĂ—EF&lt;/m:t&gt;&lt;/m:r&gt;&lt;/m:oMath&gt;&lt;/m:oMathPara&gt;&lt;/w:p&gt;&lt;w:sectPr wsp:rsidR=&quot;00000000&quot; wsp:rsidRPr=&quot;009A5832&quot;&gt;&lt;w:pgSz w:w=&quot;12240&quot; w:h=&quot;15840&quot;/&gt;&lt;w:pgMar w:top=&quot;1417&quot; w:right=&quot;1417&quot; w:bottom=&quot;1417&quot; w:left=&quot;1417&quot; w:header=&quot;708&quot; w:footer=&quot;708&quot; w:gutter=&quot;0&quot;/&gt;&lt;w:cols w:space=&quot;708&quot;/&gt;&lt;/w:sectPr&gt;&lt;/wx:sect&gt;&lt;/w:body&gt;&lt;/w:wordDocument&gt;">
            <v:imagedata r:id="rId19" o:title="" chromakey="white"/>
          </v:shape>
        </w:pict>
      </w:r>
    </w:p>
    <w:p w:rsidR="00FB2534" w:rsidRDefault="00FB2534" w:rsidP="00E53A06">
      <w:pPr>
        <w:pStyle w:val="GOMnormal"/>
      </w:pPr>
      <w:r>
        <w:t>gdzie:</w:t>
      </w:r>
    </w:p>
    <w:p w:rsidR="00FB2534" w:rsidRDefault="00FB2534" w:rsidP="00E53A06">
      <w:pPr>
        <w:pStyle w:val="GOMnormal"/>
      </w:pPr>
      <w:r>
        <w:t>E</w:t>
      </w:r>
      <w:r w:rsidRPr="00CA4455">
        <w:rPr>
          <w:vertAlign w:val="subscript"/>
        </w:rPr>
        <w:t>CO2</w:t>
      </w:r>
      <w:r>
        <w:t xml:space="preserve"> – oznacza wielkość emisji CO</w:t>
      </w:r>
      <w:r w:rsidRPr="00CA4455">
        <w:rPr>
          <w:vertAlign w:val="subscript"/>
        </w:rPr>
        <w:t>2</w:t>
      </w:r>
      <w:r>
        <w:t xml:space="preserve"> [Mg],</w:t>
      </w:r>
    </w:p>
    <w:p w:rsidR="00FB2534" w:rsidRDefault="00FB2534" w:rsidP="00E53A06">
      <w:pPr>
        <w:pStyle w:val="GOMnormal"/>
      </w:pPr>
      <w:r>
        <w:t>C – oznacza zużycie energii (elektrycznej, ciepła, paliwa) [MWh],</w:t>
      </w:r>
    </w:p>
    <w:p w:rsidR="00FB2534" w:rsidRDefault="00FB2534" w:rsidP="00E53A06">
      <w:pPr>
        <w:pStyle w:val="GOMnormal"/>
      </w:pPr>
      <w:r>
        <w:t>EF – oznacza wskaźnik emisji CO</w:t>
      </w:r>
      <w:r w:rsidRPr="00CA4455">
        <w:rPr>
          <w:vertAlign w:val="subscript"/>
        </w:rPr>
        <w:t>2</w:t>
      </w:r>
      <w:r>
        <w:t xml:space="preserve"> [MgCO</w:t>
      </w:r>
      <w:r w:rsidRPr="00CA4455">
        <w:rPr>
          <w:vertAlign w:val="subscript"/>
        </w:rPr>
        <w:t>2</w:t>
      </w:r>
      <w:r>
        <w:t>/MWh].</w:t>
      </w:r>
    </w:p>
    <w:p w:rsidR="00FB2534" w:rsidRDefault="00FB2534" w:rsidP="00E53A06">
      <w:pPr>
        <w:pStyle w:val="GOMpowyr"/>
      </w:pPr>
      <w:r>
        <w:t>Ekwiwalent CO</w:t>
      </w:r>
      <w:r w:rsidRPr="00CA4455">
        <w:rPr>
          <w:vertAlign w:val="subscript"/>
        </w:rPr>
        <w:t>2</w:t>
      </w:r>
    </w:p>
    <w:p w:rsidR="00FB2534" w:rsidRDefault="00FB2534" w:rsidP="00E53A06">
      <w:pPr>
        <w:pStyle w:val="GOMnormal"/>
      </w:pPr>
      <w:r>
        <w:t>W inwentaryzacji uwzględniono również inne niż dwutlenek węgla gazy cieplarniane (CH</w:t>
      </w:r>
      <w:r w:rsidRPr="00AA58DD">
        <w:rPr>
          <w:vertAlign w:val="subscript"/>
        </w:rPr>
        <w:t>4</w:t>
      </w:r>
      <w:r>
        <w:t>, N</w:t>
      </w:r>
      <w:r w:rsidRPr="00AA58DD">
        <w:rPr>
          <w:vertAlign w:val="subscript"/>
        </w:rPr>
        <w:t>2</w:t>
      </w:r>
      <w:r>
        <w:t>O, itd.). W przypadku konieczności przedstawienia wielkości emisji gazów cieplarnianych innych niż CO</w:t>
      </w:r>
      <w:r w:rsidRPr="00AA58DD">
        <w:rPr>
          <w:vertAlign w:val="subscript"/>
        </w:rPr>
        <w:t>2</w:t>
      </w:r>
      <w:r>
        <w:t xml:space="preserve"> zastosowane zostały przeliczniki oparte na potencjale globalnego ocieplenia dla poszczególnych gazów, opracowanym przez IPCC.</w:t>
      </w:r>
    </w:p>
    <w:p w:rsidR="00FB2534" w:rsidRDefault="00FB2534" w:rsidP="00E53A06">
      <w:pPr>
        <w:pStyle w:val="GOMpodpistab"/>
      </w:pPr>
      <w:bookmarkStart w:id="126" w:name="_Toc414231806"/>
      <w:bookmarkStart w:id="127" w:name="_Toc417154429"/>
      <w:bookmarkStart w:id="128" w:name="_Toc418239444"/>
      <w:bookmarkStart w:id="129" w:name="_Toc421054489"/>
      <w:bookmarkStart w:id="130" w:name="_Toc422135097"/>
      <w:r>
        <w:t xml:space="preserve">Tabela </w:t>
      </w:r>
      <w:r>
        <w:fldChar w:fldCharType="begin"/>
      </w:r>
      <w:r>
        <w:instrText xml:space="preserve"> SEQ Tabela \* ARABIC </w:instrText>
      </w:r>
      <w:r>
        <w:fldChar w:fldCharType="separate"/>
      </w:r>
      <w:r>
        <w:rPr>
          <w:noProof/>
        </w:rPr>
        <w:t>4</w:t>
      </w:r>
      <w:r>
        <w:fldChar w:fldCharType="end"/>
      </w:r>
      <w:r>
        <w:t xml:space="preserve">. </w:t>
      </w:r>
      <w:r w:rsidRPr="00122DCC">
        <w:t>Globalny potencjał ocieplenia gazów cieplarnianych (</w:t>
      </w:r>
      <w:r>
        <w:t xml:space="preserve">źródło: </w:t>
      </w:r>
      <w:r w:rsidRPr="00122DCC">
        <w:t>wg Second Assessment Report</w:t>
      </w:r>
      <w:r>
        <w:t>)</w:t>
      </w:r>
      <w:bookmarkEnd w:id="126"/>
      <w:bookmarkEnd w:id="127"/>
      <w:bookmarkEnd w:id="128"/>
      <w:bookmarkEnd w:id="129"/>
      <w:bookmarkEnd w:id="130"/>
    </w:p>
    <w:tbl>
      <w:tblPr>
        <w:tblW w:w="49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bottom w:w="28" w:type="dxa"/>
        </w:tblCellMar>
        <w:tblLook w:val="00A0" w:firstRow="1" w:lastRow="0" w:firstColumn="1" w:lastColumn="0" w:noHBand="0" w:noVBand="0"/>
      </w:tblPr>
      <w:tblGrid>
        <w:gridCol w:w="3511"/>
        <w:gridCol w:w="5196"/>
      </w:tblGrid>
      <w:tr w:rsidR="00FB2534" w:rsidRPr="00EA0276" w:rsidTr="00AC1CBB">
        <w:trPr>
          <w:cantSplit/>
          <w:trHeight w:val="227"/>
          <w:tblHeader/>
          <w:jc w:val="center"/>
        </w:trPr>
        <w:tc>
          <w:tcPr>
            <w:tcW w:w="3510"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Gaz Cieplarniany</w:t>
            </w:r>
          </w:p>
        </w:tc>
        <w:tc>
          <w:tcPr>
            <w:tcW w:w="5194" w:type="dxa"/>
            <w:shd w:val="clear" w:color="auto" w:fill="D9D9D9"/>
            <w:vAlign w:val="center"/>
          </w:tcPr>
          <w:p w:rsidR="00FB2534" w:rsidRPr="00AC1CBB" w:rsidRDefault="00FB2534" w:rsidP="00AC1CBB">
            <w:pPr>
              <w:jc w:val="center"/>
              <w:rPr>
                <w:rFonts w:ascii="Calibri" w:hAnsi="Calibri"/>
                <w:b/>
                <w:sz w:val="18"/>
                <w:szCs w:val="18"/>
                <w:lang w:eastAsia="en-US"/>
              </w:rPr>
            </w:pPr>
            <w:r w:rsidRPr="00AC1CBB">
              <w:rPr>
                <w:rFonts w:ascii="Calibri" w:hAnsi="Calibri"/>
                <w:b/>
                <w:sz w:val="18"/>
                <w:szCs w:val="18"/>
                <w:lang w:eastAsia="en-US"/>
              </w:rPr>
              <w:t>Potencjał Globalnego Ocieplenia [100 lat, CO</w:t>
            </w:r>
            <w:r w:rsidRPr="00AC1CBB">
              <w:rPr>
                <w:rFonts w:ascii="Calibri" w:hAnsi="Calibri"/>
                <w:b/>
                <w:sz w:val="18"/>
                <w:szCs w:val="18"/>
                <w:vertAlign w:val="subscript"/>
                <w:lang w:eastAsia="en-US"/>
              </w:rPr>
              <w:t>2eq</w:t>
            </w:r>
            <w:r w:rsidRPr="00AC1CBB">
              <w:rPr>
                <w:rFonts w:ascii="Calibri" w:hAnsi="Calibri"/>
                <w:b/>
                <w:sz w:val="18"/>
                <w:szCs w:val="18"/>
                <w:lang w:eastAsia="en-US"/>
              </w:rPr>
              <w:t>]</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CO</w:t>
            </w:r>
            <w:r w:rsidRPr="00AC1CBB">
              <w:rPr>
                <w:rFonts w:ascii="Calibri" w:hAnsi="Calibri"/>
                <w:sz w:val="18"/>
                <w:szCs w:val="18"/>
                <w:vertAlign w:val="subscript"/>
                <w:lang w:eastAsia="en-US"/>
              </w:rPr>
              <w:t xml:space="preserve">2 </w:t>
            </w:r>
            <w:r w:rsidRPr="00AC1CBB">
              <w:rPr>
                <w:rFonts w:ascii="Calibri" w:hAnsi="Calibri"/>
                <w:sz w:val="18"/>
                <w:szCs w:val="18"/>
                <w:lang w:eastAsia="en-US"/>
              </w:rPr>
              <w:t>(dwutlenek węgla)</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1</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CH</w:t>
            </w:r>
            <w:r w:rsidRPr="00AC1CBB">
              <w:rPr>
                <w:rFonts w:ascii="Calibri" w:hAnsi="Calibri"/>
                <w:sz w:val="18"/>
                <w:szCs w:val="18"/>
                <w:vertAlign w:val="subscript"/>
                <w:lang w:eastAsia="en-US"/>
              </w:rPr>
              <w:t>4</w:t>
            </w:r>
            <w:r w:rsidRPr="00AC1CBB">
              <w:rPr>
                <w:rFonts w:ascii="Calibri" w:hAnsi="Calibri"/>
                <w:sz w:val="18"/>
                <w:szCs w:val="18"/>
                <w:lang w:eastAsia="en-US"/>
              </w:rPr>
              <w:t xml:space="preserve"> (metan)</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21</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N</w:t>
            </w:r>
            <w:r w:rsidRPr="00AC1CBB">
              <w:rPr>
                <w:rFonts w:ascii="Calibri" w:hAnsi="Calibri"/>
                <w:sz w:val="18"/>
                <w:szCs w:val="18"/>
                <w:vertAlign w:val="subscript"/>
                <w:lang w:eastAsia="en-US"/>
              </w:rPr>
              <w:t>2</w:t>
            </w:r>
            <w:r w:rsidRPr="00AC1CBB">
              <w:rPr>
                <w:rFonts w:ascii="Calibri" w:hAnsi="Calibri"/>
                <w:sz w:val="18"/>
                <w:szCs w:val="18"/>
                <w:lang w:eastAsia="en-US"/>
              </w:rPr>
              <w:t>O (podtlenek azotu)</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310</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SF</w:t>
            </w:r>
            <w:r w:rsidRPr="00AC1CBB">
              <w:rPr>
                <w:rFonts w:ascii="Calibri" w:hAnsi="Calibri"/>
                <w:sz w:val="18"/>
                <w:szCs w:val="18"/>
                <w:vertAlign w:val="subscript"/>
                <w:lang w:eastAsia="en-US"/>
              </w:rPr>
              <w:t>6</w:t>
            </w:r>
            <w:r w:rsidRPr="00AC1CBB">
              <w:rPr>
                <w:rFonts w:ascii="Calibri" w:hAnsi="Calibri"/>
                <w:sz w:val="18"/>
                <w:szCs w:val="18"/>
                <w:lang w:eastAsia="en-US"/>
              </w:rPr>
              <w:t xml:space="preserve"> (heksafluoreksiarki)</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23 900</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PFC (perfluorowęglowodory)</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8 700</w:t>
            </w:r>
          </w:p>
        </w:tc>
      </w:tr>
      <w:tr w:rsidR="00FB2534" w:rsidRPr="00EA0276" w:rsidTr="00AC1CBB">
        <w:trPr>
          <w:cantSplit/>
          <w:trHeight w:val="227"/>
          <w:jc w:val="center"/>
        </w:trPr>
        <w:tc>
          <w:tcPr>
            <w:tcW w:w="3510" w:type="dxa"/>
            <w:vAlign w:val="center"/>
          </w:tcPr>
          <w:p w:rsidR="00FB2534" w:rsidRPr="00AC1CBB" w:rsidRDefault="00FB2534" w:rsidP="001D6A64">
            <w:pPr>
              <w:rPr>
                <w:rFonts w:ascii="Calibri" w:hAnsi="Calibri"/>
                <w:sz w:val="18"/>
                <w:szCs w:val="18"/>
                <w:lang w:eastAsia="en-US"/>
              </w:rPr>
            </w:pPr>
            <w:r w:rsidRPr="00AC1CBB">
              <w:rPr>
                <w:rFonts w:ascii="Calibri" w:hAnsi="Calibri"/>
                <w:sz w:val="18"/>
                <w:szCs w:val="18"/>
                <w:lang w:eastAsia="en-US"/>
              </w:rPr>
              <w:t>HFC (heptafluoropropan)</w:t>
            </w:r>
          </w:p>
        </w:tc>
        <w:tc>
          <w:tcPr>
            <w:tcW w:w="5194" w:type="dxa"/>
            <w:vAlign w:val="center"/>
          </w:tcPr>
          <w:p w:rsidR="00FB2534" w:rsidRPr="00AC1CBB" w:rsidRDefault="00FB2534" w:rsidP="00AC1CBB">
            <w:pPr>
              <w:ind w:right="1489"/>
              <w:jc w:val="right"/>
              <w:rPr>
                <w:rFonts w:ascii="Calibri" w:hAnsi="Calibri"/>
                <w:sz w:val="18"/>
                <w:szCs w:val="18"/>
                <w:lang w:eastAsia="en-US"/>
              </w:rPr>
            </w:pPr>
            <w:r w:rsidRPr="00AC1CBB">
              <w:rPr>
                <w:rFonts w:ascii="Calibri" w:hAnsi="Calibri"/>
                <w:sz w:val="18"/>
                <w:szCs w:val="18"/>
                <w:lang w:eastAsia="en-US"/>
              </w:rPr>
              <w:t xml:space="preserve">140 -11 700 </w:t>
            </w:r>
            <w:r w:rsidRPr="00AC1CBB">
              <w:rPr>
                <w:rFonts w:ascii="Calibri" w:hAnsi="Calibri"/>
                <w:sz w:val="18"/>
                <w:szCs w:val="18"/>
                <w:lang w:eastAsia="en-US"/>
              </w:rPr>
              <w:br/>
              <w:t>(w zależności od gazu)</w:t>
            </w:r>
          </w:p>
        </w:tc>
      </w:tr>
    </w:tbl>
    <w:p w:rsidR="00FB2534" w:rsidRDefault="00FB2534" w:rsidP="00E53A06">
      <w:pPr>
        <w:pStyle w:val="GOMpowyr"/>
      </w:pPr>
      <w:r>
        <w:t xml:space="preserve">Źródła danych </w:t>
      </w:r>
    </w:p>
    <w:p w:rsidR="00FB2534" w:rsidRDefault="00FB2534" w:rsidP="00E53A06">
      <w:pPr>
        <w:pStyle w:val="GOMnormal"/>
      </w:pPr>
      <w:r>
        <w:t>Do opracowania emisji konieczne było zebranie danych dotyczących nośników energii. Wykorzystana została metodologia „top-down” oraz „bottom-up” – elektroniczne ankiety, oddzielna dla każdego inwentaryzowanego sektora. Wielkości zużycia podawane zostały z zestawień znajdujących się w dyspozycji urzędów miast i gmin objętych PGN, danych statystycznych GUS oraz dokumentów planistycznych urzędów. Wśród pozyskiwanych danych wymienić można m.in.:</w:t>
      </w:r>
    </w:p>
    <w:p w:rsidR="00FB2534" w:rsidRDefault="00FB2534" w:rsidP="00407562">
      <w:pPr>
        <w:pStyle w:val="GOMwypkt"/>
        <w:numPr>
          <w:ilvl w:val="0"/>
          <w:numId w:val="21"/>
        </w:numPr>
        <w:ind w:left="568" w:hanging="284"/>
      </w:pPr>
      <w:r>
        <w:t>zużycie energii elektrycznej,</w:t>
      </w:r>
    </w:p>
    <w:p w:rsidR="00FB2534" w:rsidRDefault="00FB2534" w:rsidP="00407562">
      <w:pPr>
        <w:pStyle w:val="GOMwypkt"/>
        <w:numPr>
          <w:ilvl w:val="0"/>
          <w:numId w:val="21"/>
        </w:numPr>
        <w:ind w:left="568" w:hanging="284"/>
      </w:pPr>
      <w:r>
        <w:t>zużycie ciepła sieciowego,</w:t>
      </w:r>
    </w:p>
    <w:p w:rsidR="00FB2534" w:rsidRDefault="00FB2534" w:rsidP="00407562">
      <w:pPr>
        <w:pStyle w:val="GOMwypkt"/>
        <w:numPr>
          <w:ilvl w:val="0"/>
          <w:numId w:val="21"/>
        </w:numPr>
        <w:ind w:left="568" w:hanging="284"/>
      </w:pPr>
      <w:r>
        <w:t>zużycie paliw kopalnych (np.: węgiel, gaz, olej opałowy),</w:t>
      </w:r>
    </w:p>
    <w:p w:rsidR="00FB2534" w:rsidRDefault="00FB2534" w:rsidP="00407562">
      <w:pPr>
        <w:pStyle w:val="GOMwypkt"/>
        <w:numPr>
          <w:ilvl w:val="0"/>
          <w:numId w:val="21"/>
        </w:numPr>
        <w:ind w:left="568" w:hanging="284"/>
      </w:pPr>
      <w:r>
        <w:t>zużycie paliw transportowych,</w:t>
      </w:r>
    </w:p>
    <w:p w:rsidR="00FB2534" w:rsidRDefault="00FB2534" w:rsidP="00407562">
      <w:pPr>
        <w:pStyle w:val="GOMwypkt"/>
        <w:numPr>
          <w:ilvl w:val="0"/>
          <w:numId w:val="21"/>
        </w:numPr>
        <w:ind w:left="568" w:hanging="284"/>
      </w:pPr>
      <w:r>
        <w:t>zużycie biomasy i energii ze źródeł odnawialnych,</w:t>
      </w:r>
    </w:p>
    <w:p w:rsidR="00FB2534" w:rsidRDefault="00FB2534" w:rsidP="00407562">
      <w:pPr>
        <w:pStyle w:val="GOMwypkt"/>
        <w:numPr>
          <w:ilvl w:val="0"/>
          <w:numId w:val="21"/>
        </w:numPr>
        <w:ind w:left="568" w:hanging="284"/>
      </w:pPr>
      <w:r>
        <w:t>ilość lamp świetlnych i sygnalizacji,</w:t>
      </w:r>
    </w:p>
    <w:p w:rsidR="00FB2534" w:rsidRDefault="00FB2534" w:rsidP="00407562">
      <w:pPr>
        <w:pStyle w:val="GOMwypkt"/>
        <w:numPr>
          <w:ilvl w:val="0"/>
          <w:numId w:val="21"/>
        </w:numPr>
        <w:ind w:left="568" w:hanging="284"/>
      </w:pPr>
      <w:r>
        <w:t>ilość taboru komunikacji publicznej, budynków, itd.</w:t>
      </w:r>
    </w:p>
    <w:p w:rsidR="00FB2534" w:rsidRDefault="00FB2534" w:rsidP="00DE579C">
      <w:pPr>
        <w:pStyle w:val="GOMnormal"/>
      </w:pPr>
      <w:r>
        <w:t>Z segmentu aktywności samorządu lokalnego wykonawca pozyskał:</w:t>
      </w:r>
    </w:p>
    <w:p w:rsidR="00FB2534" w:rsidRDefault="00FB2534" w:rsidP="00407562">
      <w:pPr>
        <w:pStyle w:val="GOMwypkt"/>
        <w:numPr>
          <w:ilvl w:val="0"/>
          <w:numId w:val="21"/>
        </w:numPr>
        <w:ind w:left="568" w:hanging="284"/>
      </w:pPr>
      <w:r>
        <w:t xml:space="preserve">zużycie energii elektrycznej w budynkach gminnych, które określone zostało na podstawie inwentaryzacji faktur za energię elektryczną w poszczególnych jednostkach poddanych ankietyzacji </w:t>
      </w:r>
      <w:r w:rsidRPr="0024111E">
        <w:rPr>
          <w:color w:val="000000"/>
        </w:rPr>
        <w:t>(dane pozyskane z urzędów gmin lub jednostek im podległych)</w:t>
      </w:r>
      <w:r>
        <w:t>,</w:t>
      </w:r>
    </w:p>
    <w:p w:rsidR="00FB2534" w:rsidRDefault="00FB2534" w:rsidP="00407562">
      <w:pPr>
        <w:pStyle w:val="GOMwypkt"/>
        <w:numPr>
          <w:ilvl w:val="0"/>
          <w:numId w:val="21"/>
        </w:numPr>
        <w:ind w:left="568" w:hanging="284"/>
      </w:pPr>
      <w:r>
        <w:t>zużycie ciepła sieciowego z sieci ciepłowniczej, które określone zostało na podstawie danych dotyczących ilości zużytego ciepła na podstawie faktur za dostawę energii i rozliczeń poszczególnych jednostek,</w:t>
      </w:r>
    </w:p>
    <w:p w:rsidR="00FB2534" w:rsidRDefault="00FB2534" w:rsidP="00407562">
      <w:pPr>
        <w:pStyle w:val="GOMwypkt"/>
        <w:numPr>
          <w:ilvl w:val="0"/>
          <w:numId w:val="21"/>
        </w:numPr>
        <w:ind w:left="568" w:hanging="284"/>
      </w:pPr>
      <w:r>
        <w:t>zużycie gazu ziemnego w budynkach miejskich – określone zostało na podstawie faktur za gaz,</w:t>
      </w:r>
    </w:p>
    <w:p w:rsidR="00FB2534" w:rsidRDefault="00FB2534" w:rsidP="00407562">
      <w:pPr>
        <w:pStyle w:val="GOMwypkt"/>
        <w:numPr>
          <w:ilvl w:val="0"/>
          <w:numId w:val="21"/>
        </w:numPr>
        <w:ind w:left="568" w:hanging="284"/>
      </w:pPr>
      <w:r>
        <w:t>zużycie paliw płynnych – określono na podstawie faktur za paliwo,</w:t>
      </w:r>
    </w:p>
    <w:p w:rsidR="00FB2534" w:rsidRDefault="00FB2534" w:rsidP="00407562">
      <w:pPr>
        <w:pStyle w:val="GOMwypkt"/>
        <w:numPr>
          <w:ilvl w:val="0"/>
          <w:numId w:val="21"/>
        </w:numPr>
        <w:ind w:left="568" w:hanging="284"/>
      </w:pPr>
      <w:r>
        <w:t>zużycie paliw transportowych na podstawie faktur, ilości przejechanego dystansu, itd.</w:t>
      </w:r>
    </w:p>
    <w:p w:rsidR="00FB2534" w:rsidRDefault="00FB2534" w:rsidP="00DE579C">
      <w:pPr>
        <w:pStyle w:val="GOMnormal"/>
      </w:pPr>
      <w:r>
        <w:t>Segment aktywności społeczeństwa</w:t>
      </w:r>
      <w:r w:rsidRPr="0024111E">
        <w:rPr>
          <w:color w:val="000000"/>
        </w:rPr>
        <w:t xml:space="preserve"> (budynki mieszkalne, sektor handlu i usług, sektor transportu</w:t>
      </w:r>
      <w:r>
        <w:rPr>
          <w:color w:val="000000"/>
        </w:rPr>
        <w:t>)</w:t>
      </w:r>
      <w:r>
        <w:t>:</w:t>
      </w:r>
    </w:p>
    <w:p w:rsidR="00FB2534" w:rsidRDefault="00FB2534" w:rsidP="00407562">
      <w:pPr>
        <w:pStyle w:val="GOMwypkt"/>
        <w:numPr>
          <w:ilvl w:val="0"/>
          <w:numId w:val="21"/>
        </w:numPr>
        <w:ind w:left="568" w:hanging="284"/>
      </w:pPr>
      <w:r>
        <w:t>energia elektryczna – zużycie energii elektrycznej określone zostało na podstawie danych GUS, danych dostarczonych przez operatora sieci;</w:t>
      </w:r>
    </w:p>
    <w:p w:rsidR="00FB2534" w:rsidRPr="006A4FD8" w:rsidRDefault="00FB2534" w:rsidP="00407562">
      <w:pPr>
        <w:pStyle w:val="GOMwypkt"/>
        <w:numPr>
          <w:ilvl w:val="0"/>
          <w:numId w:val="21"/>
        </w:numPr>
        <w:ind w:left="568" w:hanging="284"/>
      </w:pPr>
      <w:r>
        <w:t xml:space="preserve">gaz ziemny - wartość zużycia gazu ziemnego została określona na podstawie danych o ilości zużycia gazu w miastach i </w:t>
      </w:r>
      <w:r w:rsidRPr="006A4FD8">
        <w:t>gminach GOM, uzyskanych z banku danych lokalnych GUS, od urzędów miast i gmin lub/i PGNiG S.A., Oddział Obrotu Gazem Gdańsk</w:t>
      </w:r>
      <w:r>
        <w:t>;</w:t>
      </w:r>
    </w:p>
    <w:p w:rsidR="00FB2534" w:rsidRPr="006A4FD8" w:rsidRDefault="00FB2534" w:rsidP="00407562">
      <w:pPr>
        <w:pStyle w:val="GOMwypkt"/>
        <w:numPr>
          <w:ilvl w:val="0"/>
          <w:numId w:val="21"/>
        </w:numPr>
        <w:ind w:left="568" w:hanging="284"/>
      </w:pPr>
      <w:r w:rsidRPr="006A4FD8">
        <w:t>olej opałowy, węgiel, drewno – wykonawca zakłada, że w sektorze mieszkalnictwa olej opałowy oraz węgiel (i drewno) stosuje się głównie do celów grzewczych. Do określenia wielkości zużycia tych paliw wykorzystano dane z inwentaryzacji emisj</w:t>
      </w:r>
      <w:r>
        <w:t>i wykonywanych na potrzeby POP,</w:t>
      </w:r>
      <w:r w:rsidRPr="006A4FD8">
        <w:t xml:space="preserve"> inwentaryzacji z natury wybranych miast i gmin;</w:t>
      </w:r>
    </w:p>
    <w:p w:rsidR="00FB2534" w:rsidRDefault="00FB2534" w:rsidP="00407562">
      <w:pPr>
        <w:pStyle w:val="GOMwypkt"/>
        <w:numPr>
          <w:ilvl w:val="0"/>
          <w:numId w:val="21"/>
        </w:numPr>
        <w:ind w:left="568" w:hanging="284"/>
      </w:pPr>
      <w:r>
        <w:t>zużycie ciepła sieciowego – określone zostało na podstawie planów zaopatrzenia w ciepło, danych udostępnionych przez dystrybutorów ciepła oraz dane GUS w podziale na grupy odbiorców,</w:t>
      </w:r>
    </w:p>
    <w:p w:rsidR="00FB2534" w:rsidRDefault="00FB2534" w:rsidP="00407562">
      <w:pPr>
        <w:pStyle w:val="GOMwypkt"/>
        <w:numPr>
          <w:ilvl w:val="0"/>
          <w:numId w:val="21"/>
        </w:numPr>
        <w:ind w:left="568" w:hanging="284"/>
      </w:pPr>
      <w:r>
        <w:t>zużycie paliw w transporcie – dane zostały oszacowane na podstawie danych o natężeniu ruchu, które zostały pozyskane z generalnego pomiaru ruchu na drogach krajowych i wojewódzkich – pomiarów prowadzonych przez Generalną Dyrekcję Dróg Krajowych i Autostrad, Pomorski Zarząd Dróg Wojewódzkich oraz wskaźników przeliczeniowych;</w:t>
      </w:r>
    </w:p>
    <w:p w:rsidR="00FB2534" w:rsidRDefault="00FB2534" w:rsidP="00407562">
      <w:pPr>
        <w:pStyle w:val="GOMwypkt"/>
        <w:numPr>
          <w:ilvl w:val="0"/>
          <w:numId w:val="21"/>
        </w:numPr>
        <w:ind w:left="568" w:hanging="284"/>
      </w:pPr>
      <w:r>
        <w:t>produkcja energii cieplnej z instalacji solarnych oraz w pompach ciepła – ilość energii cieplnej w układach pomp ciepła współpracujących ze źródłem konwencjonalnym oraz energii słonecznej pozyskana została z danych przekazanych w ramach ankietyzacji przez urzędy miast i gmin oraz jednostki im podległe, a także z danych URE.</w:t>
      </w:r>
    </w:p>
    <w:p w:rsidR="00FB2534" w:rsidRDefault="00FB2534" w:rsidP="00E53A06">
      <w:pPr>
        <w:pStyle w:val="GOMnormal"/>
      </w:pPr>
      <w:r>
        <w:t>W przypadkach, gdy przekazane dane były zagregowane dokonano podziału na sektory na podstawie dostępnych danych, przybliżonej charakterystyki innych gmin, dla których wykonawca posiada szczegółowe dane.</w:t>
      </w:r>
    </w:p>
    <w:p w:rsidR="00FB2534" w:rsidRDefault="00FB2534" w:rsidP="00E53A06">
      <w:pPr>
        <w:pStyle w:val="GOMpowyr"/>
      </w:pPr>
      <w:r>
        <w:t>Przyjęte założenia</w:t>
      </w:r>
    </w:p>
    <w:p w:rsidR="00FB2534" w:rsidRDefault="00FB2534" w:rsidP="00E53A06">
      <w:pPr>
        <w:pStyle w:val="GOMnormal"/>
      </w:pPr>
      <w:r>
        <w:t>Dla celów opracowania inwentaryzacji zostały przyjęte następujące założenia:</w:t>
      </w:r>
    </w:p>
    <w:p w:rsidR="00FB2534" w:rsidRDefault="00FB2534" w:rsidP="00407562">
      <w:pPr>
        <w:pStyle w:val="GOMwypkt"/>
        <w:numPr>
          <w:ilvl w:val="0"/>
          <w:numId w:val="21"/>
        </w:numPr>
        <w:ind w:left="568" w:hanging="284"/>
      </w:pPr>
      <w:r>
        <w:t>każde miasto, czy gmina jest i będzie importerem netto energii elektrycznej, w związku z czym został przyjęty wskaźnik emisji średni dla Polski, dla energii elektrycznej sieciowej;</w:t>
      </w:r>
    </w:p>
    <w:p w:rsidR="00FB2534" w:rsidRDefault="00FB2534" w:rsidP="00407562">
      <w:pPr>
        <w:pStyle w:val="GOMwypkt"/>
        <w:numPr>
          <w:ilvl w:val="0"/>
          <w:numId w:val="21"/>
        </w:numPr>
        <w:ind w:left="568" w:hanging="284"/>
      </w:pPr>
      <w:r>
        <w:t>ze względu na trudności z pozyskaniem danych, w inwentaryzacji mogły zostać pominięte dane wynikające ze zużycia oleju opałowego lub innych paliw - przyjmuje się, że nie ma to znaczącego wpływu na ostateczną wielkość emisji (jeśli udział paliwa stanowi poniżej 2% zapotrzebowania na ciepło) z obszaru miasta lub gminy;</w:t>
      </w:r>
    </w:p>
    <w:p w:rsidR="00FB2534" w:rsidRDefault="00FB2534" w:rsidP="00407562">
      <w:pPr>
        <w:pStyle w:val="GOMwypkt"/>
        <w:numPr>
          <w:ilvl w:val="0"/>
          <w:numId w:val="21"/>
        </w:numPr>
        <w:ind w:left="568" w:hanging="284"/>
      </w:pPr>
      <w:r>
        <w:t>emisje gazów cieplarnianych innych niż CO</w:t>
      </w:r>
      <w:r w:rsidRPr="006B6D8B">
        <w:t>2</w:t>
      </w:r>
      <w:r>
        <w:t xml:space="preserve"> z transportu (CH</w:t>
      </w:r>
      <w:r w:rsidRPr="006B6D8B">
        <w:t>4</w:t>
      </w:r>
      <w:r>
        <w:t xml:space="preserve"> i N</w:t>
      </w:r>
      <w:r w:rsidRPr="006B6D8B">
        <w:t>2</w:t>
      </w:r>
      <w:r>
        <w:t>O) mieszczą się w przedziale 1-3% całkowitej emisji z transportu, co ostatecznie przekłada się na mniej niż 0,5% całkowitej emisji z obszaru miasta lub gminy i w związku z tym emisja z tych gazów została pominięta w inwentaryzacji;</w:t>
      </w:r>
    </w:p>
    <w:p w:rsidR="00FB2534" w:rsidRDefault="00FB2534" w:rsidP="00407562">
      <w:pPr>
        <w:pStyle w:val="GOMwypkt"/>
        <w:numPr>
          <w:ilvl w:val="0"/>
          <w:numId w:val="21"/>
        </w:numPr>
        <w:ind w:left="568" w:hanging="284"/>
      </w:pPr>
      <w:r>
        <w:t>dla obliczenia emisji z transportu przyjęte zostały natężenia ruchu, dla których zostały przeprowadzone pomiary, w innych wypadkach (w tym na drogach powiatowych i gminnych) natężenie ruchu zostało zamodelowane na podstawie dostępnych danych, wskaźników przeliczeniowych i informacji o strumieniach pojazdów na drogach wojewódzkich i gminnych;</w:t>
      </w:r>
    </w:p>
    <w:p w:rsidR="00FB2534" w:rsidRDefault="00FB2534" w:rsidP="00407562">
      <w:pPr>
        <w:pStyle w:val="GOMwypkt"/>
        <w:numPr>
          <w:ilvl w:val="0"/>
          <w:numId w:val="21"/>
        </w:numPr>
        <w:ind w:left="568" w:hanging="284"/>
      </w:pPr>
      <w:r>
        <w:t>trendy gospodarcze przyjęto zgodnie z prognozą PKB do roku 2020;</w:t>
      </w:r>
    </w:p>
    <w:p w:rsidR="00FB2534" w:rsidRDefault="00FB2534" w:rsidP="00407562">
      <w:pPr>
        <w:pStyle w:val="GOMwypkt"/>
        <w:numPr>
          <w:ilvl w:val="0"/>
          <w:numId w:val="21"/>
        </w:numPr>
        <w:ind w:left="568" w:hanging="284"/>
      </w:pPr>
      <w:r>
        <w:t>wielkości zużycia paliw i energii będą zgodne z prognozą zawartą w Polityce Energetycznej Polski do roku 2030;</w:t>
      </w:r>
    </w:p>
    <w:p w:rsidR="00FB2534" w:rsidRDefault="00FB2534" w:rsidP="00407562">
      <w:pPr>
        <w:pStyle w:val="GOMwypkt"/>
        <w:numPr>
          <w:ilvl w:val="0"/>
          <w:numId w:val="21"/>
        </w:numPr>
        <w:ind w:left="568" w:hanging="284"/>
      </w:pPr>
      <w:r>
        <w:t>obecne trendy demograficzne nie ulegną zmianie;</w:t>
      </w:r>
    </w:p>
    <w:p w:rsidR="00FB2534" w:rsidRDefault="00FB2534" w:rsidP="00407562">
      <w:pPr>
        <w:pStyle w:val="GOMwypkt"/>
        <w:numPr>
          <w:ilvl w:val="0"/>
          <w:numId w:val="21"/>
        </w:numPr>
        <w:ind w:left="568" w:hanging="284"/>
      </w:pPr>
      <w:r>
        <w:t>natężenie ruchu, zgodnie z metodologią prognoz natężenia ruchu GDDKiA, do 2024 roku wzrośnie.</w:t>
      </w:r>
    </w:p>
    <w:p w:rsidR="00FB2534" w:rsidRDefault="00FB2534" w:rsidP="00E53A06">
      <w:pPr>
        <w:pStyle w:val="GOMwyr"/>
      </w:pPr>
      <w:r>
        <w:t>Rolnictwo</w:t>
      </w:r>
    </w:p>
    <w:p w:rsidR="00FB2534" w:rsidRDefault="00FB2534" w:rsidP="00E53A06">
      <w:pPr>
        <w:pStyle w:val="GOMnormal"/>
      </w:pPr>
      <w:r>
        <w:t>W sektorze rolnictwa obliczenia emisji gazów cieplarnianych przeprowadzono dla upraw oraz dla hodowli zwierząt. W przypadku upraw określono emisję podtlenku azotu wynikającą ze stosowania nawozów azotowych, natomiast dla hodowli uwzględniono emisję metanu i podtlenku azotu. Emisja gazów cieplarnianych z hodowli zwierząt jest zróżnicowana w zależności od gatunku, dlatego obliczono emisje dla: bydła, krów, trzody chlewnej, loch, koni i drobiu. Informacje o wielkości zużycia nawozów azotowych oraz stanie pogłowia zwierząt w podziale na poszczególne gminy zaczerpnięto ze Spisu rolnego przeprowadzonego w 2010 roku. Następnie, na podstawie rocznych danych GUS, proporcjonalnie wyliczono wielkości dla roku 2013. Wskaźniki emisji gazów cieplarnianych zastosowane w obliczeniach przedstawiono w tabeli poniżej.</w:t>
      </w:r>
    </w:p>
    <w:p w:rsidR="00FB2534" w:rsidRDefault="00FB2534" w:rsidP="00E53A06">
      <w:pPr>
        <w:pStyle w:val="GOMpodpistab"/>
      </w:pPr>
      <w:bookmarkStart w:id="131" w:name="_Toc417154430"/>
      <w:bookmarkStart w:id="132" w:name="_Toc418239445"/>
      <w:bookmarkStart w:id="133" w:name="_Toc421054490"/>
      <w:bookmarkStart w:id="134" w:name="_Toc422135098"/>
      <w:r>
        <w:t xml:space="preserve">Tabela </w:t>
      </w:r>
      <w:r>
        <w:fldChar w:fldCharType="begin"/>
      </w:r>
      <w:r>
        <w:instrText xml:space="preserve"> SEQ Tabela \* ARABIC </w:instrText>
      </w:r>
      <w:r>
        <w:fldChar w:fldCharType="separate"/>
      </w:r>
      <w:r>
        <w:rPr>
          <w:noProof/>
        </w:rPr>
        <w:t>5</w:t>
      </w:r>
      <w:r>
        <w:fldChar w:fldCharType="end"/>
      </w:r>
      <w:r>
        <w:t>. Wskaźniki emisji gazów cieplarnianych z działalności rolniczej</w:t>
      </w:r>
      <w:bookmarkEnd w:id="131"/>
      <w:bookmarkEnd w:id="132"/>
      <w:bookmarkEnd w:id="133"/>
      <w:bookmarkEnd w:id="134"/>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A0" w:firstRow="1" w:lastRow="0" w:firstColumn="1" w:lastColumn="0" w:noHBand="0" w:noVBand="0"/>
      </w:tblPr>
      <w:tblGrid>
        <w:gridCol w:w="2623"/>
        <w:gridCol w:w="1985"/>
        <w:gridCol w:w="1702"/>
        <w:gridCol w:w="1418"/>
        <w:gridCol w:w="1081"/>
      </w:tblGrid>
      <w:tr w:rsidR="00FB2534" w:rsidRPr="00440A85" w:rsidTr="00AC1CBB">
        <w:trPr>
          <w:cantSplit/>
          <w:trHeight w:val="227"/>
          <w:tblHeader/>
          <w:jc w:val="center"/>
        </w:trPr>
        <w:tc>
          <w:tcPr>
            <w:tcW w:w="2622" w:type="dxa"/>
            <w:vMerge w:val="restart"/>
            <w:shd w:val="clear" w:color="auto" w:fill="BFBFBF"/>
            <w:noWrap/>
            <w:vAlign w:val="center"/>
          </w:tcPr>
          <w:p w:rsidR="00FB2534" w:rsidRPr="00440A85" w:rsidRDefault="00FB2534" w:rsidP="001D6A64">
            <w:pPr>
              <w:jc w:val="center"/>
              <w:rPr>
                <w:rFonts w:ascii="Calibri" w:hAnsi="Calibri"/>
                <w:b/>
                <w:bCs/>
                <w:sz w:val="18"/>
                <w:szCs w:val="18"/>
              </w:rPr>
            </w:pPr>
            <w:r w:rsidRPr="00440A85">
              <w:rPr>
                <w:rFonts w:ascii="Calibri" w:hAnsi="Calibri"/>
                <w:b/>
                <w:bCs/>
                <w:sz w:val="18"/>
                <w:szCs w:val="18"/>
              </w:rPr>
              <w:t>Rodzaj działalności rolniczej</w:t>
            </w:r>
          </w:p>
        </w:tc>
        <w:tc>
          <w:tcPr>
            <w:tcW w:w="1984" w:type="dxa"/>
            <w:vMerge w:val="restart"/>
            <w:shd w:val="clear" w:color="auto" w:fill="BFBFBF"/>
            <w:vAlign w:val="center"/>
          </w:tcPr>
          <w:p w:rsidR="00FB2534" w:rsidRDefault="00FB2534" w:rsidP="001D6A64">
            <w:pPr>
              <w:jc w:val="center"/>
              <w:rPr>
                <w:rFonts w:ascii="Calibri" w:hAnsi="Calibri"/>
                <w:b/>
                <w:bCs/>
                <w:sz w:val="18"/>
                <w:szCs w:val="18"/>
              </w:rPr>
            </w:pPr>
            <w:r>
              <w:rPr>
                <w:rFonts w:ascii="Calibri" w:hAnsi="Calibri"/>
                <w:b/>
                <w:bCs/>
                <w:sz w:val="18"/>
                <w:szCs w:val="18"/>
              </w:rPr>
              <w:t>jednostka</w:t>
            </w:r>
          </w:p>
        </w:tc>
        <w:tc>
          <w:tcPr>
            <w:tcW w:w="4200" w:type="dxa"/>
            <w:gridSpan w:val="3"/>
            <w:shd w:val="clear" w:color="auto" w:fill="BFBFBF"/>
            <w:vAlign w:val="center"/>
          </w:tcPr>
          <w:p w:rsidR="00FB2534" w:rsidRPr="00440A85" w:rsidRDefault="00FB2534" w:rsidP="001D6A64">
            <w:pPr>
              <w:jc w:val="center"/>
              <w:rPr>
                <w:rFonts w:ascii="Calibri" w:hAnsi="Calibri"/>
                <w:b/>
                <w:bCs/>
                <w:sz w:val="18"/>
                <w:szCs w:val="18"/>
              </w:rPr>
            </w:pPr>
            <w:r>
              <w:rPr>
                <w:rFonts w:ascii="Calibri" w:hAnsi="Calibri"/>
                <w:b/>
                <w:bCs/>
                <w:sz w:val="18"/>
                <w:szCs w:val="18"/>
              </w:rPr>
              <w:t>wskaźniki emisji gazów cieplarnianych</w:t>
            </w:r>
          </w:p>
        </w:tc>
      </w:tr>
      <w:tr w:rsidR="00FB2534" w:rsidRPr="00440A85" w:rsidTr="00AC1CBB">
        <w:trPr>
          <w:cantSplit/>
          <w:trHeight w:val="227"/>
          <w:tblHeader/>
          <w:jc w:val="center"/>
        </w:trPr>
        <w:tc>
          <w:tcPr>
            <w:tcW w:w="2622" w:type="dxa"/>
            <w:vMerge/>
            <w:shd w:val="clear" w:color="auto" w:fill="BFBFBF"/>
            <w:noWrap/>
            <w:vAlign w:val="center"/>
          </w:tcPr>
          <w:p w:rsidR="00FB2534" w:rsidRPr="00440A85" w:rsidRDefault="00FB2534" w:rsidP="001D6A64">
            <w:pPr>
              <w:jc w:val="right"/>
              <w:rPr>
                <w:rFonts w:ascii="Calibri" w:hAnsi="Calibri"/>
                <w:b/>
                <w:bCs/>
                <w:sz w:val="18"/>
                <w:szCs w:val="18"/>
              </w:rPr>
            </w:pPr>
          </w:p>
        </w:tc>
        <w:tc>
          <w:tcPr>
            <w:tcW w:w="1984" w:type="dxa"/>
            <w:vMerge/>
            <w:shd w:val="clear" w:color="auto" w:fill="BFBFBF"/>
            <w:vAlign w:val="center"/>
          </w:tcPr>
          <w:p w:rsidR="00FB2534" w:rsidRPr="00440A85" w:rsidRDefault="00FB2534" w:rsidP="001D6A64">
            <w:pPr>
              <w:jc w:val="center"/>
              <w:rPr>
                <w:rFonts w:ascii="Calibri" w:hAnsi="Calibri"/>
                <w:b/>
                <w:bCs/>
                <w:sz w:val="18"/>
                <w:szCs w:val="18"/>
              </w:rPr>
            </w:pPr>
          </w:p>
        </w:tc>
        <w:tc>
          <w:tcPr>
            <w:tcW w:w="1701" w:type="dxa"/>
            <w:shd w:val="clear" w:color="auto" w:fill="BFBFBF"/>
            <w:noWrap/>
            <w:vAlign w:val="center"/>
          </w:tcPr>
          <w:p w:rsidR="00FB2534" w:rsidRPr="00440A85" w:rsidRDefault="00FB2534" w:rsidP="001D6A64">
            <w:pPr>
              <w:jc w:val="center"/>
              <w:rPr>
                <w:rFonts w:ascii="Calibri" w:hAnsi="Calibri"/>
                <w:b/>
                <w:bCs/>
                <w:sz w:val="18"/>
                <w:szCs w:val="18"/>
              </w:rPr>
            </w:pPr>
            <w:r>
              <w:rPr>
                <w:rFonts w:ascii="Calibri" w:hAnsi="Calibri"/>
                <w:b/>
                <w:bCs/>
                <w:sz w:val="18"/>
                <w:szCs w:val="18"/>
              </w:rPr>
              <w:t>CH</w:t>
            </w:r>
            <w:r w:rsidRPr="00A15A4F">
              <w:rPr>
                <w:rFonts w:ascii="Calibri" w:hAnsi="Calibri"/>
                <w:b/>
                <w:bCs/>
                <w:sz w:val="18"/>
                <w:szCs w:val="18"/>
                <w:vertAlign w:val="subscript"/>
              </w:rPr>
              <w:t>4</w:t>
            </w:r>
            <w:r>
              <w:rPr>
                <w:rFonts w:ascii="Calibri" w:hAnsi="Calibri"/>
                <w:b/>
                <w:bCs/>
                <w:sz w:val="18"/>
                <w:szCs w:val="18"/>
              </w:rPr>
              <w:t xml:space="preserve"> z </w:t>
            </w:r>
            <w:r w:rsidRPr="00440A85">
              <w:rPr>
                <w:rFonts w:ascii="Calibri" w:hAnsi="Calibri"/>
                <w:b/>
                <w:bCs/>
                <w:sz w:val="18"/>
                <w:szCs w:val="18"/>
              </w:rPr>
              <w:t>fermentacj</w:t>
            </w:r>
            <w:r>
              <w:rPr>
                <w:rFonts w:ascii="Calibri" w:hAnsi="Calibri"/>
                <w:b/>
                <w:bCs/>
                <w:sz w:val="18"/>
                <w:szCs w:val="18"/>
              </w:rPr>
              <w:t>i</w:t>
            </w:r>
          </w:p>
        </w:tc>
        <w:tc>
          <w:tcPr>
            <w:tcW w:w="1418" w:type="dxa"/>
            <w:shd w:val="clear" w:color="auto" w:fill="BFBFBF"/>
            <w:noWrap/>
            <w:vAlign w:val="center"/>
          </w:tcPr>
          <w:p w:rsidR="00FB2534" w:rsidRPr="00440A85" w:rsidRDefault="00FB2534" w:rsidP="001D6A64">
            <w:pPr>
              <w:jc w:val="center"/>
              <w:rPr>
                <w:rFonts w:ascii="Calibri" w:hAnsi="Calibri"/>
                <w:b/>
                <w:bCs/>
                <w:sz w:val="18"/>
                <w:szCs w:val="18"/>
              </w:rPr>
            </w:pPr>
            <w:r>
              <w:rPr>
                <w:rFonts w:ascii="Calibri" w:hAnsi="Calibri"/>
                <w:b/>
                <w:bCs/>
                <w:sz w:val="18"/>
                <w:szCs w:val="18"/>
              </w:rPr>
              <w:t>CH</w:t>
            </w:r>
            <w:r w:rsidRPr="00A15A4F">
              <w:rPr>
                <w:rFonts w:ascii="Calibri" w:hAnsi="Calibri"/>
                <w:b/>
                <w:bCs/>
                <w:sz w:val="18"/>
                <w:szCs w:val="18"/>
                <w:vertAlign w:val="subscript"/>
              </w:rPr>
              <w:t>4</w:t>
            </w:r>
            <w:r>
              <w:rPr>
                <w:rFonts w:ascii="Calibri" w:hAnsi="Calibri"/>
                <w:b/>
                <w:bCs/>
                <w:sz w:val="18"/>
                <w:szCs w:val="18"/>
              </w:rPr>
              <w:t xml:space="preserve"> z </w:t>
            </w:r>
            <w:r w:rsidRPr="00440A85">
              <w:rPr>
                <w:rFonts w:ascii="Calibri" w:hAnsi="Calibri"/>
                <w:b/>
                <w:bCs/>
                <w:sz w:val="18"/>
                <w:szCs w:val="18"/>
              </w:rPr>
              <w:t>odchod</w:t>
            </w:r>
            <w:r>
              <w:rPr>
                <w:rFonts w:ascii="Calibri" w:hAnsi="Calibri"/>
                <w:b/>
                <w:bCs/>
                <w:sz w:val="18"/>
                <w:szCs w:val="18"/>
              </w:rPr>
              <w:t>ów</w:t>
            </w:r>
          </w:p>
        </w:tc>
        <w:tc>
          <w:tcPr>
            <w:tcW w:w="1081" w:type="dxa"/>
            <w:shd w:val="clear" w:color="auto" w:fill="BFBFBF"/>
            <w:noWrap/>
            <w:vAlign w:val="center"/>
          </w:tcPr>
          <w:p w:rsidR="00FB2534" w:rsidRPr="00440A85" w:rsidRDefault="00FB2534" w:rsidP="001D6A64">
            <w:pPr>
              <w:jc w:val="center"/>
              <w:rPr>
                <w:rFonts w:ascii="Calibri" w:hAnsi="Calibri"/>
                <w:b/>
                <w:bCs/>
                <w:sz w:val="18"/>
                <w:szCs w:val="18"/>
              </w:rPr>
            </w:pPr>
            <w:r w:rsidRPr="00440A85">
              <w:rPr>
                <w:rFonts w:ascii="Calibri" w:hAnsi="Calibri"/>
                <w:b/>
                <w:bCs/>
                <w:sz w:val="18"/>
                <w:szCs w:val="18"/>
              </w:rPr>
              <w:t>N</w:t>
            </w:r>
            <w:r w:rsidRPr="00440A85">
              <w:rPr>
                <w:rFonts w:ascii="Calibri" w:hAnsi="Calibri"/>
                <w:b/>
                <w:bCs/>
                <w:sz w:val="18"/>
                <w:szCs w:val="18"/>
                <w:vertAlign w:val="subscript"/>
              </w:rPr>
              <w:t>2</w:t>
            </w:r>
            <w:r w:rsidRPr="00440A85">
              <w:rPr>
                <w:rFonts w:ascii="Calibri" w:hAnsi="Calibri"/>
                <w:b/>
                <w:bCs/>
                <w:sz w:val="18"/>
                <w:szCs w:val="18"/>
              </w:rPr>
              <w:t>O</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 bydła</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49,209</w:t>
            </w:r>
          </w:p>
        </w:tc>
        <w:tc>
          <w:tcPr>
            <w:tcW w:w="1418"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2,56</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0,255</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w:t>
            </w:r>
            <w:r>
              <w:rPr>
                <w:rFonts w:ascii="Calibri" w:hAnsi="Calibri"/>
                <w:bCs/>
                <w:sz w:val="18"/>
                <w:szCs w:val="18"/>
              </w:rPr>
              <w:t xml:space="preserve"> </w:t>
            </w:r>
            <w:r w:rsidRPr="00440A85">
              <w:rPr>
                <w:rFonts w:ascii="Calibri" w:hAnsi="Calibri"/>
                <w:bCs/>
                <w:sz w:val="18"/>
                <w:szCs w:val="18"/>
              </w:rPr>
              <w:t>krów</w:t>
            </w:r>
            <w:r>
              <w:rPr>
                <w:rFonts w:ascii="Calibri" w:hAnsi="Calibri"/>
                <w:bCs/>
                <w:sz w:val="18"/>
                <w:szCs w:val="18"/>
              </w:rPr>
              <w:t>*</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97,358</w:t>
            </w:r>
          </w:p>
        </w:tc>
        <w:tc>
          <w:tcPr>
            <w:tcW w:w="1418"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13,76</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0,910</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sz w:val="18"/>
                <w:szCs w:val="18"/>
              </w:rPr>
            </w:pPr>
            <w:r w:rsidRPr="00440A85">
              <w:rPr>
                <w:rFonts w:ascii="Calibri" w:hAnsi="Calibri"/>
                <w:sz w:val="18"/>
                <w:szCs w:val="18"/>
              </w:rPr>
              <w:t>hodowla owiec</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7,859</w:t>
            </w:r>
          </w:p>
        </w:tc>
        <w:tc>
          <w:tcPr>
            <w:tcW w:w="1418"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0,17</w:t>
            </w:r>
          </w:p>
        </w:tc>
        <w:tc>
          <w:tcPr>
            <w:tcW w:w="1081"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0,060</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sz w:val="18"/>
                <w:szCs w:val="18"/>
              </w:rPr>
            </w:pPr>
            <w:r w:rsidRPr="00440A85">
              <w:rPr>
                <w:rFonts w:ascii="Calibri" w:hAnsi="Calibri"/>
                <w:sz w:val="18"/>
                <w:szCs w:val="18"/>
              </w:rPr>
              <w:t>hodowla kóz</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5</w:t>
            </w:r>
          </w:p>
        </w:tc>
        <w:tc>
          <w:tcPr>
            <w:tcW w:w="1418"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0,12</w:t>
            </w:r>
          </w:p>
        </w:tc>
        <w:tc>
          <w:tcPr>
            <w:tcW w:w="1081" w:type="dxa"/>
            <w:noWrap/>
            <w:vAlign w:val="center"/>
          </w:tcPr>
          <w:p w:rsidR="00FB2534" w:rsidRPr="00440A85" w:rsidRDefault="00FB2534" w:rsidP="001D6A64">
            <w:pPr>
              <w:jc w:val="right"/>
              <w:rPr>
                <w:rFonts w:ascii="Calibri" w:hAnsi="Calibri"/>
                <w:sz w:val="18"/>
                <w:szCs w:val="18"/>
              </w:rPr>
            </w:pPr>
            <w:r w:rsidRPr="00440A85">
              <w:rPr>
                <w:rFonts w:ascii="Calibri" w:hAnsi="Calibri"/>
                <w:sz w:val="18"/>
                <w:szCs w:val="18"/>
              </w:rPr>
              <w:t>0,070</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 koni</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18</w:t>
            </w:r>
          </w:p>
        </w:tc>
        <w:tc>
          <w:tcPr>
            <w:tcW w:w="1418"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1,39</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0,291</w:t>
            </w:r>
          </w:p>
        </w:tc>
      </w:tr>
      <w:tr w:rsidR="00FB2534" w:rsidRPr="00440A85" w:rsidTr="001D6A64">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 trzody chlewnej</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1,5</w:t>
            </w:r>
          </w:p>
        </w:tc>
        <w:tc>
          <w:tcPr>
            <w:tcW w:w="1418"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5,97</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0,12</w:t>
            </w:r>
            <w:r>
              <w:rPr>
                <w:rFonts w:ascii="Calibri" w:hAnsi="Calibri"/>
                <w:bCs/>
                <w:sz w:val="18"/>
                <w:szCs w:val="18"/>
              </w:rPr>
              <w:t>7</w:t>
            </w:r>
          </w:p>
        </w:tc>
      </w:tr>
      <w:tr w:rsidR="00FB2534" w:rsidRPr="00440A85" w:rsidTr="00AC1CBB">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 loch</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shd w:val="clear" w:color="auto" w:fill="D9D9D9"/>
            <w:noWrap/>
            <w:vAlign w:val="center"/>
          </w:tcPr>
          <w:p w:rsidR="00FB2534" w:rsidRPr="00440A85" w:rsidRDefault="00FB2534" w:rsidP="001D6A64">
            <w:pPr>
              <w:rPr>
                <w:rFonts w:ascii="Calibri" w:hAnsi="Calibri"/>
                <w:bCs/>
                <w:sz w:val="18"/>
                <w:szCs w:val="18"/>
              </w:rPr>
            </w:pPr>
          </w:p>
        </w:tc>
        <w:tc>
          <w:tcPr>
            <w:tcW w:w="1418" w:type="dxa"/>
            <w:shd w:val="clear" w:color="auto" w:fill="D9D9D9"/>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 </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0,27</w:t>
            </w:r>
            <w:r>
              <w:rPr>
                <w:rFonts w:ascii="Calibri" w:hAnsi="Calibri"/>
                <w:bCs/>
                <w:sz w:val="18"/>
                <w:szCs w:val="18"/>
              </w:rPr>
              <w:t>7</w:t>
            </w:r>
          </w:p>
        </w:tc>
      </w:tr>
      <w:tr w:rsidR="00FB2534" w:rsidRPr="00440A85" w:rsidTr="00AC1CBB">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hodowla drobiu</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[kg/(sztukę×rok]</w:t>
            </w:r>
          </w:p>
        </w:tc>
        <w:tc>
          <w:tcPr>
            <w:tcW w:w="1701" w:type="dxa"/>
            <w:shd w:val="clear" w:color="auto" w:fill="D9D9D9"/>
            <w:noWrap/>
            <w:vAlign w:val="center"/>
          </w:tcPr>
          <w:p w:rsidR="00FB2534" w:rsidRPr="00440A85" w:rsidRDefault="00FB2534" w:rsidP="001D6A64">
            <w:pPr>
              <w:rPr>
                <w:rFonts w:ascii="Calibri" w:hAnsi="Calibri"/>
                <w:bCs/>
                <w:iCs/>
                <w:sz w:val="18"/>
                <w:szCs w:val="18"/>
              </w:rPr>
            </w:pPr>
          </w:p>
        </w:tc>
        <w:tc>
          <w:tcPr>
            <w:tcW w:w="1418" w:type="dxa"/>
            <w:noWrap/>
            <w:vAlign w:val="center"/>
          </w:tcPr>
          <w:p w:rsidR="00FB2534" w:rsidRPr="00440A85" w:rsidRDefault="00FB2534" w:rsidP="001D6A64">
            <w:pPr>
              <w:jc w:val="right"/>
              <w:rPr>
                <w:rFonts w:ascii="Calibri" w:hAnsi="Calibri"/>
                <w:bCs/>
                <w:iCs/>
                <w:sz w:val="18"/>
                <w:szCs w:val="18"/>
              </w:rPr>
            </w:pPr>
            <w:r w:rsidRPr="00440A85">
              <w:rPr>
                <w:rFonts w:ascii="Calibri" w:hAnsi="Calibri"/>
                <w:bCs/>
                <w:iCs/>
                <w:sz w:val="18"/>
                <w:szCs w:val="18"/>
              </w:rPr>
              <w:t>0,08</w:t>
            </w:r>
          </w:p>
        </w:tc>
        <w:tc>
          <w:tcPr>
            <w:tcW w:w="1081" w:type="dxa"/>
            <w:noWrap/>
            <w:vAlign w:val="center"/>
          </w:tcPr>
          <w:p w:rsidR="00FB2534" w:rsidRPr="00440A85" w:rsidRDefault="00FB2534" w:rsidP="001D6A64">
            <w:pPr>
              <w:jc w:val="right"/>
              <w:rPr>
                <w:rFonts w:ascii="Calibri" w:hAnsi="Calibri"/>
                <w:bCs/>
                <w:iCs/>
                <w:sz w:val="18"/>
                <w:szCs w:val="18"/>
              </w:rPr>
            </w:pPr>
            <w:r w:rsidRPr="00440A85">
              <w:rPr>
                <w:rFonts w:ascii="Calibri" w:hAnsi="Calibri"/>
                <w:bCs/>
                <w:iCs/>
                <w:sz w:val="18"/>
                <w:szCs w:val="18"/>
              </w:rPr>
              <w:t>0,005</w:t>
            </w:r>
          </w:p>
        </w:tc>
      </w:tr>
      <w:tr w:rsidR="00FB2534" w:rsidRPr="00440A85" w:rsidTr="00AC1CBB">
        <w:trPr>
          <w:cantSplit/>
          <w:trHeight w:val="227"/>
          <w:jc w:val="center"/>
        </w:trPr>
        <w:tc>
          <w:tcPr>
            <w:tcW w:w="2622" w:type="dxa"/>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nawożenia upraw</w:t>
            </w:r>
            <w:r>
              <w:rPr>
                <w:rFonts w:ascii="Calibri" w:hAnsi="Calibri"/>
                <w:bCs/>
                <w:sz w:val="18"/>
                <w:szCs w:val="18"/>
              </w:rPr>
              <w:t xml:space="preserve"> nawozami azotowymi</w:t>
            </w:r>
          </w:p>
        </w:tc>
        <w:tc>
          <w:tcPr>
            <w:tcW w:w="1984" w:type="dxa"/>
            <w:vAlign w:val="center"/>
          </w:tcPr>
          <w:p w:rsidR="00FB2534" w:rsidRPr="00440A85" w:rsidRDefault="00FB2534" w:rsidP="001D6A64">
            <w:pPr>
              <w:jc w:val="center"/>
              <w:rPr>
                <w:rFonts w:ascii="Calibri" w:hAnsi="Calibri"/>
                <w:bCs/>
                <w:sz w:val="18"/>
                <w:szCs w:val="18"/>
              </w:rPr>
            </w:pPr>
            <w:r>
              <w:rPr>
                <w:rFonts w:ascii="Calibri" w:hAnsi="Calibri"/>
                <w:bCs/>
                <w:sz w:val="18"/>
                <w:szCs w:val="18"/>
              </w:rPr>
              <w:t>[kg/(kg nazowu×rok]</w:t>
            </w:r>
          </w:p>
        </w:tc>
        <w:tc>
          <w:tcPr>
            <w:tcW w:w="1701" w:type="dxa"/>
            <w:shd w:val="clear" w:color="auto" w:fill="D9D9D9"/>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 </w:t>
            </w:r>
          </w:p>
        </w:tc>
        <w:tc>
          <w:tcPr>
            <w:tcW w:w="1418" w:type="dxa"/>
            <w:shd w:val="clear" w:color="auto" w:fill="D9D9D9"/>
            <w:noWrap/>
            <w:vAlign w:val="center"/>
          </w:tcPr>
          <w:p w:rsidR="00FB2534" w:rsidRPr="00440A85" w:rsidRDefault="00FB2534" w:rsidP="001D6A64">
            <w:pPr>
              <w:rPr>
                <w:rFonts w:ascii="Calibri" w:hAnsi="Calibri"/>
                <w:bCs/>
                <w:sz w:val="18"/>
                <w:szCs w:val="18"/>
              </w:rPr>
            </w:pPr>
            <w:r w:rsidRPr="00440A85">
              <w:rPr>
                <w:rFonts w:ascii="Calibri" w:hAnsi="Calibri"/>
                <w:bCs/>
                <w:sz w:val="18"/>
                <w:szCs w:val="18"/>
              </w:rPr>
              <w:t> </w:t>
            </w:r>
          </w:p>
        </w:tc>
        <w:tc>
          <w:tcPr>
            <w:tcW w:w="1081" w:type="dxa"/>
            <w:noWrap/>
            <w:vAlign w:val="center"/>
          </w:tcPr>
          <w:p w:rsidR="00FB2534" w:rsidRPr="00440A85" w:rsidRDefault="00FB2534" w:rsidP="001D6A64">
            <w:pPr>
              <w:jc w:val="right"/>
              <w:rPr>
                <w:rFonts w:ascii="Calibri" w:hAnsi="Calibri"/>
                <w:bCs/>
                <w:sz w:val="18"/>
                <w:szCs w:val="18"/>
              </w:rPr>
            </w:pPr>
            <w:r w:rsidRPr="00440A85">
              <w:rPr>
                <w:rFonts w:ascii="Calibri" w:hAnsi="Calibri"/>
                <w:bCs/>
                <w:sz w:val="18"/>
                <w:szCs w:val="18"/>
              </w:rPr>
              <w:t>0,00125</w:t>
            </w:r>
          </w:p>
        </w:tc>
      </w:tr>
    </w:tbl>
    <w:p w:rsidR="00FB2534" w:rsidRDefault="00FB2534" w:rsidP="00E53A06">
      <w:pPr>
        <w:pStyle w:val="GOMwypkt"/>
        <w:numPr>
          <w:ilvl w:val="0"/>
          <w:numId w:val="0"/>
        </w:numPr>
      </w:pPr>
      <w:r w:rsidRPr="008416BD">
        <w:t>*</w:t>
      </w:r>
      <w:r>
        <w:t xml:space="preserve"> - wskaźnik dla krów uzależniony jest od produkcji mleka, dla warunków polskich określono wskaźnik dla produkcji mleka 4-6 tys. l na rok</w:t>
      </w:r>
    </w:p>
    <w:p w:rsidR="00FB2534" w:rsidRDefault="00FB2534" w:rsidP="00E53A06">
      <w:pPr>
        <w:pStyle w:val="GOMnormal"/>
      </w:pPr>
      <w:r>
        <w:t>Wielkość emisji z działalności rolniczej obliczono z następującego wzoru:</w:t>
      </w:r>
    </w:p>
    <w:p w:rsidR="00FB2534" w:rsidRPr="00F52460" w:rsidRDefault="00FB2534" w:rsidP="00E53A06">
      <w:pPr>
        <w:pStyle w:val="GOMnormal"/>
        <w:rPr>
          <w:sz w:val="28"/>
          <w:szCs w:val="28"/>
        </w:rPr>
      </w:pPr>
      <w:r>
        <w:pict>
          <v:shape id="_x0000_i1031" type="#_x0000_t75" style="width:61.5pt;height:16.5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0B7&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2820B7&quot; wsp:rsidRDefault=&quot;002820B7&quot; wsp:rsidP=&quot;002820B7&quot;&gt;&lt;m:oMathPara&gt;&lt;m:oMath&gt;&lt;m:r&gt;&lt;w:rPr&gt;&lt;w:rFonts w:ascii=&quot;Cambria Math&quot; w:h-ansi=&quot;Cambria Math&quot;/&gt;&lt;wx:font wx:val=&quot;Cambria Math&quot;/&gt;&lt;w:i/&gt;&lt;w:sz w:val=&quot;28&quot;/&gt;&lt;w:sz-cs w:val=&quot;28&quot;/&gt;&lt;/w:rPr&gt;&lt;m:t&gt;E=LĂ—&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w&lt;/m:t&gt;&lt;/m:r&gt;&lt;/m:e&gt;&lt;m:sub&gt;&lt;m:r&gt;&lt;w:rPr&gt;&lt;w:rFonts w:ascii=&quot;Cambria Math&quot; w:h-ansi=&quot;Cambria Math&quot;/&gt;&lt;wx:font wx:val=&quot;Cambria Math&quot;/&gt;&lt;w:i/&gt;&lt;w:sz w:val=&quot;28&quot;/&gt;&lt;w:sz-cs w:val=&quot;28&quot;/&gt;&lt;/w:rPr&gt;&lt;m:t&gt;e&lt;/m:t&gt;&lt;/m:r&gt;&lt;/m:sub&gt;&lt;/m:sSub&gt;&lt;/m:oMath&gt;&lt;/m:oMathPara&gt;&lt;/w:p&gt;&lt;w:sectPr wsp:rsidR=&quot;00000000&quot; wsp:rsidRPr=&quot;002820B7&quot;&gt;&lt;w:pgSz w:w=&quot;12240&quot; w:h=&quot;15840&quot;/&gt;&lt;w:pgMar w:top=&quot;1417&quot; w:right=&quot;1417&quot; w:bottom=&quot;1417&quot; w:left=&quot;1417&quot; w:header=&quot;708&quot; w:footer=&quot;708&quot; w:gutter=&quot;0&quot;/&gt;&lt;w:cols w:space=&quot;708&quot;/&gt;&lt;/w:sectPr&gt;&lt;/wx:sect&gt;&lt;/w:body&gt;&lt;/w:wordDocument&gt;">
            <v:imagedata r:id="rId20" o:title="" chromakey="white"/>
          </v:shape>
        </w:pict>
      </w:r>
    </w:p>
    <w:p w:rsidR="00FB2534" w:rsidRDefault="00FB2534" w:rsidP="00E53A06">
      <w:pPr>
        <w:pStyle w:val="GOMnormal"/>
      </w:pPr>
      <w:r>
        <w:t>gdzie:</w:t>
      </w:r>
    </w:p>
    <w:p w:rsidR="00FB2534" w:rsidRDefault="00FB2534" w:rsidP="00E53A06">
      <w:pPr>
        <w:pStyle w:val="GOMnormal"/>
      </w:pPr>
      <w:r>
        <w:t>E – emisja gazu cieplarnianego [kg/rok],</w:t>
      </w:r>
    </w:p>
    <w:p w:rsidR="00FB2534" w:rsidRDefault="00FB2534" w:rsidP="00E53A06">
      <w:pPr>
        <w:pStyle w:val="GOMnormal"/>
      </w:pPr>
      <w:r>
        <w:t>L – roczna liczba zwierząt hodowlanych [sztuk] lub masa zużytych w ciągu roku nawozów azotowych [kg],</w:t>
      </w:r>
    </w:p>
    <w:p w:rsidR="00FB2534" w:rsidRDefault="00FB2534" w:rsidP="00E53A06">
      <w:pPr>
        <w:pStyle w:val="GOMnormal"/>
        <w:ind w:left="567" w:hanging="567"/>
      </w:pPr>
      <w:r w:rsidRPr="005A341C">
        <w:t>w</w:t>
      </w:r>
      <w:r w:rsidRPr="005A341C">
        <w:rPr>
          <w:vertAlign w:val="subscript"/>
        </w:rPr>
        <w:t>e</w:t>
      </w:r>
      <w:r>
        <w:t xml:space="preserve"> – wskaźnik emisji gazu cieplarnianego [kg/(sztukę×rok)] dla hodowli lub [kg/(kg nawozu×rok)] dla nawożenia.</w:t>
      </w:r>
    </w:p>
    <w:p w:rsidR="00FB2534" w:rsidRDefault="00FB2534" w:rsidP="00E53A06">
      <w:pPr>
        <w:pStyle w:val="GOMwyr"/>
      </w:pPr>
      <w:r>
        <w:t>Leśnictwo</w:t>
      </w:r>
    </w:p>
    <w:p w:rsidR="00FB2534" w:rsidRDefault="00FB2534" w:rsidP="00E53A06">
      <w:pPr>
        <w:pStyle w:val="GOMnormal"/>
      </w:pPr>
      <w:r>
        <w:t>Obliczenia dla sektora leśnego wykonano zgodnie z metodyką IPCC</w:t>
      </w:r>
      <w:r>
        <w:rPr>
          <w:rStyle w:val="FootnoteReference"/>
        </w:rPr>
        <w:footnoteReference w:id="13"/>
      </w:r>
      <w:r>
        <w:t xml:space="preserve"> określając emisję naturalną metanu i podtlenku azotu. Obliczenia pochłaniania CO</w:t>
      </w:r>
      <w:r w:rsidRPr="00F52460">
        <w:rPr>
          <w:vertAlign w:val="subscript"/>
        </w:rPr>
        <w:t>2</w:t>
      </w:r>
      <w:r>
        <w:t xml:space="preserve"> przez drzewa wykonano w oparciu o badania Lasów Państwowych. Bilans gazów cieplarnianych w sektorze leśnym jest ujemny, gdyż przeważa pochłanianie.</w:t>
      </w:r>
    </w:p>
    <w:p w:rsidR="00FB2534" w:rsidRDefault="00FB2534" w:rsidP="00E53A06">
      <w:pPr>
        <w:pStyle w:val="GOMnormal"/>
      </w:pPr>
      <w:r>
        <w:t>W ramach inwentaryzacji emisji naturalnej z sektora leśnego w pierwszym etapie określono obszary do inwentaryzacji na podstawie map geodezyjnych w systemie informacji przestrzennej opisujących obszary leśne. Wielkość emisji pochodzącej z lasów obliczono z następującego wzoru:</w:t>
      </w:r>
    </w:p>
    <w:p w:rsidR="00FB2534" w:rsidRPr="00F52460" w:rsidRDefault="00FB2534" w:rsidP="00E53A06">
      <w:pPr>
        <w:pStyle w:val="GOMnormal"/>
        <w:rPr>
          <w:sz w:val="28"/>
          <w:szCs w:val="28"/>
        </w:rPr>
      </w:pPr>
      <w:r>
        <w:pict>
          <v:shape id="_x0000_i1032" type="#_x0000_t75" style="width:62.25pt;height:16.5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340&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562340&quot; wsp:rsidRDefault=&quot;00562340&quot; wsp:rsidP=&quot;00562340&quot;&gt;&lt;m:oMathPara&gt;&lt;m:oMath&gt;&lt;m:r&gt;&lt;w:rPr&gt;&lt;w:rFonts w:ascii=&quot;Cambria Math&quot; w:h-ansi=&quot;Cambria Math&quot;/&gt;&lt;wx:font wx:val=&quot;Cambria Math&quot;/&gt;&lt;w:i/&gt;&lt;w:sz w:val=&quot;28&quot;/&gt;&lt;w:sz-cs w:val=&quot;28&quot;/&gt;&lt;/w:rPr&gt;&lt;m:t&gt;E=PĂ—&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w&lt;/m:t&gt;&lt;/m:r&gt;&lt;/m:e&gt;&lt;m:sub&gt;&lt;m:r&gt;&lt;w:rPr&gt;&lt;w:rFonts w:ascii=&quot;Cambria Math&quot; w:h-ansi=&quot;Cambria Math&quot;/&gt;&lt;wx:font wx:val=&quot;Cambria Math&quot;/&gt;&lt;w:i/&gt;&lt;w:sz w:val=&quot;28&quot;/&gt;&lt;w:sz-cs w:val=&quot;28&quot;/&gt;&lt;/w:rPr&gt;&lt;m:t&gt;e&lt;/m:t&gt;&lt;/m:r&gt;&lt;/m:sub&gt;&lt;/m:sSub&gt;&lt;/m:oMath&gt;&lt;/m:oMathPara&gt;&lt;/w:p&gt;&lt;w:sectPr wsp:rsidR=&quot;00000000&quot; wsp:rsidRPr=&quot;00562340&quot;&gt;&lt;w:pgSz w:w=&quot;12240&quot; w:h=&quot;15840&quot;/&gt;&lt;w:pgMar w:top=&quot;1417&quot; w:right=&quot;1417&quot; w:bottom=&quot;1417&quot; w:left=&quot;1417&quot; w:header=&quot;708&quot; w:footer=&quot;708&quot; w:gutter=&quot;0&quot;/&gt;&lt;w:cols w:space=&quot;708&quot;/&gt;&lt;/w:sectPr&gt;&lt;/wx:sect&gt;&lt;/w:body&gt;&lt;/w:wordDocument&gt;">
            <v:imagedata r:id="rId21" o:title="" chromakey="white"/>
          </v:shape>
        </w:pict>
      </w:r>
    </w:p>
    <w:p w:rsidR="00FB2534" w:rsidRDefault="00FB2534" w:rsidP="00E53A06">
      <w:pPr>
        <w:pStyle w:val="GOMnormal"/>
      </w:pPr>
      <w:r>
        <w:t>gdzie:</w:t>
      </w:r>
    </w:p>
    <w:p w:rsidR="00FB2534" w:rsidRDefault="00FB2534" w:rsidP="00E53A06">
      <w:pPr>
        <w:pStyle w:val="GOMnormal"/>
      </w:pPr>
      <w:r>
        <w:t>E – emisja gazu cieplarnianego [kg/rok],</w:t>
      </w:r>
    </w:p>
    <w:p w:rsidR="00FB2534" w:rsidRDefault="00FB2534" w:rsidP="00E53A06">
      <w:pPr>
        <w:pStyle w:val="GOMnormal"/>
      </w:pPr>
      <w:r>
        <w:t>P – powierzchnia lasu [ha],</w:t>
      </w:r>
    </w:p>
    <w:p w:rsidR="00FB2534" w:rsidRDefault="00FB2534" w:rsidP="00E53A06">
      <w:pPr>
        <w:pStyle w:val="GOMnormal"/>
      </w:pPr>
      <w:r w:rsidRPr="005A341C">
        <w:t>w</w:t>
      </w:r>
      <w:r w:rsidRPr="005A341C">
        <w:rPr>
          <w:vertAlign w:val="subscript"/>
        </w:rPr>
        <w:t>e</w:t>
      </w:r>
      <w:r>
        <w:t xml:space="preserve"> – wskaźnik emisji gazu cieplarnianego [kg/(ha×rok)].</w:t>
      </w:r>
    </w:p>
    <w:p w:rsidR="00FB2534" w:rsidRDefault="00FB2534" w:rsidP="00E53A06">
      <w:pPr>
        <w:pStyle w:val="GOMnormal"/>
      </w:pPr>
      <w:r>
        <w:t>Do obliczeń wykorzystano wskaźniki podane w tabeli poniżej.</w:t>
      </w:r>
    </w:p>
    <w:p w:rsidR="00FB2534" w:rsidRDefault="00FB2534" w:rsidP="00E53A06">
      <w:pPr>
        <w:pStyle w:val="GOMpodpistab"/>
      </w:pPr>
      <w:bookmarkStart w:id="135" w:name="_Toc417154431"/>
      <w:bookmarkStart w:id="136" w:name="_Toc418239446"/>
      <w:bookmarkStart w:id="137" w:name="_Toc421054491"/>
      <w:bookmarkStart w:id="138" w:name="_Toc422135099"/>
      <w:r>
        <w:t xml:space="preserve">Tabela </w:t>
      </w:r>
      <w:r>
        <w:fldChar w:fldCharType="begin"/>
      </w:r>
      <w:r>
        <w:instrText xml:space="preserve"> SEQ Tabela \* ARABIC </w:instrText>
      </w:r>
      <w:r>
        <w:fldChar w:fldCharType="separate"/>
      </w:r>
      <w:r>
        <w:rPr>
          <w:noProof/>
        </w:rPr>
        <w:t>6</w:t>
      </w:r>
      <w:r>
        <w:fldChar w:fldCharType="end"/>
      </w:r>
      <w:r>
        <w:t>. Wskaźniki emisji gazów cieplarnianych z terenów leśnych</w:t>
      </w:r>
      <w:bookmarkEnd w:id="135"/>
      <w:bookmarkEnd w:id="136"/>
      <w:bookmarkEnd w:id="137"/>
      <w:bookmarkEnd w:id="13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A0" w:firstRow="1" w:lastRow="0" w:firstColumn="1" w:lastColumn="0" w:noHBand="0" w:noVBand="0"/>
      </w:tblPr>
      <w:tblGrid>
        <w:gridCol w:w="2201"/>
        <w:gridCol w:w="2202"/>
        <w:gridCol w:w="2203"/>
        <w:gridCol w:w="2203"/>
      </w:tblGrid>
      <w:tr w:rsidR="00FB2534" w:rsidRPr="00305732" w:rsidTr="00AC1CBB">
        <w:trPr>
          <w:cantSplit/>
          <w:trHeight w:val="227"/>
          <w:tblHeader/>
          <w:jc w:val="center"/>
        </w:trPr>
        <w:tc>
          <w:tcPr>
            <w:tcW w:w="2201" w:type="dxa"/>
            <w:vMerge w:val="restart"/>
            <w:shd w:val="clear" w:color="auto" w:fill="BFBFBF"/>
            <w:vAlign w:val="center"/>
          </w:tcPr>
          <w:p w:rsidR="00FB2534" w:rsidRPr="00305732" w:rsidRDefault="00FB2534" w:rsidP="001D6A64">
            <w:pPr>
              <w:jc w:val="center"/>
              <w:rPr>
                <w:rFonts w:ascii="Calibri" w:hAnsi="Calibri"/>
                <w:b/>
                <w:bCs/>
                <w:sz w:val="18"/>
                <w:szCs w:val="18"/>
              </w:rPr>
            </w:pPr>
            <w:r w:rsidRPr="00305732">
              <w:rPr>
                <w:rFonts w:ascii="Calibri" w:hAnsi="Calibri"/>
                <w:b/>
                <w:bCs/>
                <w:sz w:val="18"/>
                <w:szCs w:val="18"/>
              </w:rPr>
              <w:t>Rodzaj lasu</w:t>
            </w:r>
          </w:p>
        </w:tc>
        <w:tc>
          <w:tcPr>
            <w:tcW w:w="6605" w:type="dxa"/>
            <w:gridSpan w:val="3"/>
            <w:shd w:val="clear" w:color="auto" w:fill="BFBFBF"/>
            <w:noWrap/>
            <w:vAlign w:val="center"/>
          </w:tcPr>
          <w:p w:rsidR="00FB2534" w:rsidRPr="00305732" w:rsidRDefault="00FB2534" w:rsidP="001D6A64">
            <w:pPr>
              <w:jc w:val="center"/>
              <w:rPr>
                <w:rFonts w:ascii="Calibri" w:hAnsi="Calibri"/>
                <w:b/>
                <w:bCs/>
                <w:sz w:val="18"/>
                <w:szCs w:val="18"/>
              </w:rPr>
            </w:pPr>
            <w:r w:rsidRPr="00305732">
              <w:rPr>
                <w:rFonts w:ascii="Calibri" w:hAnsi="Calibri"/>
                <w:b/>
                <w:bCs/>
                <w:sz w:val="18"/>
                <w:szCs w:val="18"/>
              </w:rPr>
              <w:t>Wskaźniki emisji gazów cieplarnianych [kg/(ha×rok)]</w:t>
            </w:r>
          </w:p>
        </w:tc>
      </w:tr>
      <w:tr w:rsidR="00FB2534" w:rsidRPr="00305732" w:rsidTr="00AC1CBB">
        <w:trPr>
          <w:cantSplit/>
          <w:trHeight w:val="227"/>
          <w:tblHeader/>
          <w:jc w:val="center"/>
        </w:trPr>
        <w:tc>
          <w:tcPr>
            <w:tcW w:w="2201" w:type="dxa"/>
            <w:vMerge/>
            <w:shd w:val="clear" w:color="auto" w:fill="BFBFBF"/>
            <w:vAlign w:val="center"/>
          </w:tcPr>
          <w:p w:rsidR="00FB2534" w:rsidRPr="00305732" w:rsidRDefault="00FB2534" w:rsidP="001D6A64">
            <w:pPr>
              <w:jc w:val="center"/>
              <w:rPr>
                <w:rFonts w:ascii="Calibri" w:hAnsi="Calibri"/>
                <w:b/>
                <w:bCs/>
                <w:sz w:val="18"/>
                <w:szCs w:val="18"/>
              </w:rPr>
            </w:pPr>
          </w:p>
        </w:tc>
        <w:tc>
          <w:tcPr>
            <w:tcW w:w="2201" w:type="dxa"/>
            <w:shd w:val="clear" w:color="auto" w:fill="BFBFBF"/>
            <w:noWrap/>
            <w:vAlign w:val="center"/>
          </w:tcPr>
          <w:p w:rsidR="00FB2534" w:rsidRPr="00305732" w:rsidRDefault="00FB2534" w:rsidP="001D6A64">
            <w:pPr>
              <w:jc w:val="center"/>
              <w:rPr>
                <w:rFonts w:ascii="Calibri" w:hAnsi="Calibri"/>
                <w:b/>
                <w:bCs/>
                <w:sz w:val="18"/>
                <w:szCs w:val="18"/>
              </w:rPr>
            </w:pPr>
            <w:r w:rsidRPr="00305732">
              <w:rPr>
                <w:rFonts w:ascii="Calibri" w:hAnsi="Calibri"/>
                <w:b/>
                <w:bCs/>
                <w:sz w:val="18"/>
                <w:szCs w:val="18"/>
              </w:rPr>
              <w:t>CH</w:t>
            </w:r>
            <w:r w:rsidRPr="00305732">
              <w:rPr>
                <w:rFonts w:ascii="Calibri" w:hAnsi="Calibri"/>
                <w:b/>
                <w:bCs/>
                <w:sz w:val="18"/>
                <w:szCs w:val="18"/>
                <w:vertAlign w:val="subscript"/>
              </w:rPr>
              <w:t>4</w:t>
            </w:r>
          </w:p>
        </w:tc>
        <w:tc>
          <w:tcPr>
            <w:tcW w:w="2202" w:type="dxa"/>
            <w:shd w:val="clear" w:color="auto" w:fill="BFBFBF"/>
            <w:noWrap/>
            <w:vAlign w:val="center"/>
          </w:tcPr>
          <w:p w:rsidR="00FB2534" w:rsidRPr="00305732" w:rsidRDefault="00FB2534" w:rsidP="001D6A64">
            <w:pPr>
              <w:jc w:val="center"/>
              <w:rPr>
                <w:rFonts w:ascii="Calibri" w:hAnsi="Calibri"/>
                <w:b/>
                <w:bCs/>
                <w:sz w:val="18"/>
                <w:szCs w:val="18"/>
              </w:rPr>
            </w:pPr>
            <w:r w:rsidRPr="00305732">
              <w:rPr>
                <w:rFonts w:ascii="Calibri" w:hAnsi="Calibri"/>
                <w:b/>
                <w:bCs/>
                <w:sz w:val="18"/>
                <w:szCs w:val="18"/>
              </w:rPr>
              <w:t>N</w:t>
            </w:r>
            <w:r w:rsidRPr="00305732">
              <w:rPr>
                <w:rFonts w:ascii="Calibri" w:hAnsi="Calibri"/>
                <w:b/>
                <w:bCs/>
                <w:sz w:val="18"/>
                <w:szCs w:val="18"/>
                <w:vertAlign w:val="subscript"/>
              </w:rPr>
              <w:t>2</w:t>
            </w:r>
            <w:r w:rsidRPr="00305732">
              <w:rPr>
                <w:rFonts w:ascii="Calibri" w:hAnsi="Calibri"/>
                <w:b/>
                <w:bCs/>
                <w:sz w:val="18"/>
                <w:szCs w:val="18"/>
              </w:rPr>
              <w:t>O</w:t>
            </w:r>
          </w:p>
        </w:tc>
        <w:tc>
          <w:tcPr>
            <w:tcW w:w="2202" w:type="dxa"/>
            <w:shd w:val="clear" w:color="auto" w:fill="BFBFBF"/>
            <w:noWrap/>
            <w:vAlign w:val="center"/>
          </w:tcPr>
          <w:p w:rsidR="00FB2534" w:rsidRPr="00305732" w:rsidRDefault="00FB2534" w:rsidP="001D6A64">
            <w:pPr>
              <w:jc w:val="center"/>
              <w:rPr>
                <w:rFonts w:ascii="Calibri" w:hAnsi="Calibri"/>
                <w:b/>
                <w:bCs/>
                <w:sz w:val="18"/>
                <w:szCs w:val="18"/>
              </w:rPr>
            </w:pPr>
            <w:r w:rsidRPr="00305732">
              <w:rPr>
                <w:rFonts w:ascii="Calibri" w:hAnsi="Calibri"/>
                <w:b/>
                <w:bCs/>
                <w:sz w:val="18"/>
                <w:szCs w:val="18"/>
              </w:rPr>
              <w:t>CO</w:t>
            </w:r>
            <w:r w:rsidRPr="00305732">
              <w:rPr>
                <w:rFonts w:ascii="Calibri" w:hAnsi="Calibri"/>
                <w:b/>
                <w:bCs/>
                <w:sz w:val="18"/>
                <w:szCs w:val="18"/>
                <w:vertAlign w:val="subscript"/>
              </w:rPr>
              <w:t>2</w:t>
            </w:r>
          </w:p>
        </w:tc>
      </w:tr>
      <w:tr w:rsidR="00FB2534" w:rsidRPr="00305732" w:rsidTr="001D6A64">
        <w:trPr>
          <w:cantSplit/>
          <w:trHeight w:val="227"/>
          <w:jc w:val="center"/>
        </w:trPr>
        <w:tc>
          <w:tcPr>
            <w:tcW w:w="2201" w:type="dxa"/>
            <w:vAlign w:val="center"/>
          </w:tcPr>
          <w:p w:rsidR="00FB2534" w:rsidRPr="00305732" w:rsidRDefault="00FB2534" w:rsidP="001D6A64">
            <w:pPr>
              <w:rPr>
                <w:rFonts w:ascii="Calibri" w:hAnsi="Calibri"/>
                <w:sz w:val="18"/>
                <w:szCs w:val="18"/>
              </w:rPr>
            </w:pPr>
            <w:r w:rsidRPr="00305732">
              <w:rPr>
                <w:rFonts w:ascii="Calibri" w:hAnsi="Calibri"/>
                <w:sz w:val="18"/>
                <w:szCs w:val="18"/>
              </w:rPr>
              <w:t>lasy liściaste</w:t>
            </w:r>
          </w:p>
        </w:tc>
        <w:tc>
          <w:tcPr>
            <w:tcW w:w="2201"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20</w:t>
            </w:r>
          </w:p>
        </w:tc>
        <w:tc>
          <w:tcPr>
            <w:tcW w:w="2202"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1,6</w:t>
            </w:r>
          </w:p>
        </w:tc>
        <w:tc>
          <w:tcPr>
            <w:tcW w:w="2202"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-5 000</w:t>
            </w:r>
          </w:p>
        </w:tc>
      </w:tr>
      <w:tr w:rsidR="00FB2534" w:rsidRPr="00305732" w:rsidTr="001D6A64">
        <w:trPr>
          <w:cantSplit/>
          <w:trHeight w:val="227"/>
          <w:jc w:val="center"/>
        </w:trPr>
        <w:tc>
          <w:tcPr>
            <w:tcW w:w="2201" w:type="dxa"/>
            <w:vAlign w:val="center"/>
          </w:tcPr>
          <w:p w:rsidR="00FB2534" w:rsidRPr="00305732" w:rsidRDefault="00FB2534" w:rsidP="001D6A64">
            <w:pPr>
              <w:rPr>
                <w:rFonts w:ascii="Calibri" w:hAnsi="Calibri"/>
                <w:sz w:val="18"/>
                <w:szCs w:val="18"/>
              </w:rPr>
            </w:pPr>
            <w:r w:rsidRPr="00305732">
              <w:rPr>
                <w:rFonts w:ascii="Calibri" w:hAnsi="Calibri"/>
                <w:sz w:val="18"/>
                <w:szCs w:val="18"/>
              </w:rPr>
              <w:t>lasy iglaste</w:t>
            </w:r>
          </w:p>
        </w:tc>
        <w:tc>
          <w:tcPr>
            <w:tcW w:w="2201"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50</w:t>
            </w:r>
          </w:p>
        </w:tc>
        <w:tc>
          <w:tcPr>
            <w:tcW w:w="2202"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1,6</w:t>
            </w:r>
          </w:p>
        </w:tc>
        <w:tc>
          <w:tcPr>
            <w:tcW w:w="2202" w:type="dxa"/>
            <w:noWrap/>
            <w:vAlign w:val="center"/>
          </w:tcPr>
          <w:p w:rsidR="00FB2534" w:rsidRPr="00305732" w:rsidRDefault="00FB2534" w:rsidP="001D6A64">
            <w:pPr>
              <w:ind w:right="576"/>
              <w:jc w:val="right"/>
              <w:rPr>
                <w:rFonts w:ascii="Calibri" w:hAnsi="Calibri"/>
                <w:sz w:val="18"/>
                <w:szCs w:val="18"/>
              </w:rPr>
            </w:pPr>
            <w:r w:rsidRPr="00305732">
              <w:rPr>
                <w:rFonts w:ascii="Calibri" w:hAnsi="Calibri"/>
                <w:sz w:val="18"/>
                <w:szCs w:val="18"/>
              </w:rPr>
              <w:t>-5 000</w:t>
            </w:r>
          </w:p>
        </w:tc>
      </w:tr>
      <w:tr w:rsidR="00FB2534" w:rsidRPr="00305732" w:rsidTr="001D6A64">
        <w:trPr>
          <w:cantSplit/>
          <w:trHeight w:val="227"/>
          <w:jc w:val="center"/>
        </w:trPr>
        <w:tc>
          <w:tcPr>
            <w:tcW w:w="2201" w:type="dxa"/>
            <w:vAlign w:val="center"/>
          </w:tcPr>
          <w:p w:rsidR="00FB2534" w:rsidRPr="00305732" w:rsidRDefault="00FB2534" w:rsidP="001D6A64">
            <w:pPr>
              <w:rPr>
                <w:rFonts w:ascii="Calibri" w:hAnsi="Calibri"/>
                <w:bCs/>
                <w:iCs/>
                <w:sz w:val="18"/>
                <w:szCs w:val="18"/>
              </w:rPr>
            </w:pPr>
            <w:r w:rsidRPr="00305732">
              <w:rPr>
                <w:rFonts w:ascii="Calibri" w:hAnsi="Calibri"/>
                <w:bCs/>
                <w:iCs/>
                <w:sz w:val="18"/>
                <w:szCs w:val="18"/>
              </w:rPr>
              <w:t>lasy mieszane</w:t>
            </w:r>
          </w:p>
        </w:tc>
        <w:tc>
          <w:tcPr>
            <w:tcW w:w="2201" w:type="dxa"/>
            <w:noWrap/>
            <w:vAlign w:val="center"/>
          </w:tcPr>
          <w:p w:rsidR="00FB2534" w:rsidRPr="00305732" w:rsidRDefault="00FB2534" w:rsidP="001D6A64">
            <w:pPr>
              <w:ind w:right="576"/>
              <w:jc w:val="right"/>
              <w:rPr>
                <w:rFonts w:ascii="Calibri" w:hAnsi="Calibri"/>
                <w:bCs/>
                <w:iCs/>
                <w:sz w:val="18"/>
                <w:szCs w:val="18"/>
              </w:rPr>
            </w:pPr>
            <w:r w:rsidRPr="00305732">
              <w:rPr>
                <w:rFonts w:ascii="Calibri" w:hAnsi="Calibri"/>
                <w:bCs/>
                <w:iCs/>
                <w:sz w:val="18"/>
                <w:szCs w:val="18"/>
              </w:rPr>
              <w:t>35</w:t>
            </w:r>
          </w:p>
        </w:tc>
        <w:tc>
          <w:tcPr>
            <w:tcW w:w="2202" w:type="dxa"/>
            <w:noWrap/>
            <w:vAlign w:val="center"/>
          </w:tcPr>
          <w:p w:rsidR="00FB2534" w:rsidRPr="00305732" w:rsidRDefault="00FB2534" w:rsidP="001D6A64">
            <w:pPr>
              <w:ind w:right="576"/>
              <w:jc w:val="right"/>
              <w:rPr>
                <w:rFonts w:ascii="Calibri" w:hAnsi="Calibri"/>
                <w:bCs/>
                <w:iCs/>
                <w:sz w:val="18"/>
                <w:szCs w:val="18"/>
              </w:rPr>
            </w:pPr>
            <w:r w:rsidRPr="00305732">
              <w:rPr>
                <w:rFonts w:ascii="Calibri" w:hAnsi="Calibri"/>
                <w:bCs/>
                <w:iCs/>
                <w:sz w:val="18"/>
                <w:szCs w:val="18"/>
              </w:rPr>
              <w:t>1,6</w:t>
            </w:r>
          </w:p>
        </w:tc>
        <w:tc>
          <w:tcPr>
            <w:tcW w:w="2202" w:type="dxa"/>
            <w:noWrap/>
            <w:vAlign w:val="center"/>
          </w:tcPr>
          <w:p w:rsidR="00FB2534" w:rsidRPr="00305732" w:rsidRDefault="00FB2534" w:rsidP="001D6A64">
            <w:pPr>
              <w:ind w:right="576"/>
              <w:jc w:val="right"/>
              <w:rPr>
                <w:rFonts w:ascii="Calibri" w:hAnsi="Calibri"/>
                <w:bCs/>
                <w:iCs/>
                <w:sz w:val="18"/>
                <w:szCs w:val="18"/>
              </w:rPr>
            </w:pPr>
            <w:r w:rsidRPr="00305732">
              <w:rPr>
                <w:rFonts w:ascii="Calibri" w:hAnsi="Calibri"/>
                <w:bCs/>
                <w:iCs/>
                <w:sz w:val="18"/>
                <w:szCs w:val="18"/>
              </w:rPr>
              <w:t>-5 000</w:t>
            </w:r>
          </w:p>
        </w:tc>
      </w:tr>
    </w:tbl>
    <w:p w:rsidR="00FB2534" w:rsidRDefault="00FB2534" w:rsidP="00E53A06">
      <w:pPr>
        <w:pStyle w:val="GOMwyr"/>
      </w:pPr>
      <w:r>
        <w:t>Gospodarka odpadami</w:t>
      </w:r>
    </w:p>
    <w:p w:rsidR="00FB2534" w:rsidRDefault="00FB2534" w:rsidP="00E53A06">
      <w:pPr>
        <w:pStyle w:val="GOMnormal"/>
      </w:pPr>
      <w:r>
        <w:t>Emisja gazów cieplarnianych z sektora gospodarki odpadami została określona dla składowania odpadów oraz dla ich termicznego unieszkodliwiania, czyli spalania odpadów. Wielkość i sposób zagospodarowania odpadów przemysłowych zaczerpnięto z Banku danych lokalnych GUS, natomiast ilość i sposób zagospodarowania odpadów komunalnych ze sprawozdań, które gminy przygotowały dla Marszałka Województwa za rok 2013. Wielkość emisji została obliczona w oparciu o wskaźniki podane w tabeli poniżej. Ilość metanu i dwutlenku węgla określono w stosunku do ilości odpadów skierowanych na składowiska w ciągu roku. Natomiast ilość podtlenku azotu i dwutlenku węgla określono w stosunku do strumienia odpadów poddanych termicznemu unieszkodliwianiu w roku 2013.</w:t>
      </w:r>
    </w:p>
    <w:p w:rsidR="00FB2534" w:rsidRDefault="00FB2534" w:rsidP="00E53A06">
      <w:pPr>
        <w:pStyle w:val="GOMpodpistab"/>
      </w:pPr>
      <w:bookmarkStart w:id="139" w:name="_Toc417154432"/>
      <w:bookmarkStart w:id="140" w:name="_Toc418239447"/>
      <w:bookmarkStart w:id="141" w:name="_Toc421054492"/>
      <w:bookmarkStart w:id="142" w:name="_Toc422135100"/>
      <w:r>
        <w:t xml:space="preserve">Tabela </w:t>
      </w:r>
      <w:r>
        <w:fldChar w:fldCharType="begin"/>
      </w:r>
      <w:r>
        <w:instrText xml:space="preserve"> SEQ Tabela \* ARABIC </w:instrText>
      </w:r>
      <w:r>
        <w:fldChar w:fldCharType="separate"/>
      </w:r>
      <w:r>
        <w:rPr>
          <w:noProof/>
        </w:rPr>
        <w:t>7</w:t>
      </w:r>
      <w:r>
        <w:fldChar w:fldCharType="end"/>
      </w:r>
      <w:r>
        <w:t>. Wskaźniki emisji gazów cieplarnianych z sektora gospodarki odpadami</w:t>
      </w:r>
      <w:bookmarkEnd w:id="139"/>
      <w:bookmarkEnd w:id="140"/>
      <w:bookmarkEnd w:id="141"/>
      <w:bookmarkEnd w:id="142"/>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left w:w="70" w:type="dxa"/>
          <w:bottom w:w="28" w:type="dxa"/>
          <w:right w:w="70" w:type="dxa"/>
        </w:tblCellMar>
        <w:tblLook w:val="00A0" w:firstRow="1" w:lastRow="0" w:firstColumn="1" w:lastColumn="0" w:noHBand="0" w:noVBand="0"/>
      </w:tblPr>
      <w:tblGrid>
        <w:gridCol w:w="3687"/>
        <w:gridCol w:w="1772"/>
        <w:gridCol w:w="1739"/>
        <w:gridCol w:w="1611"/>
      </w:tblGrid>
      <w:tr w:rsidR="00FB2534" w:rsidRPr="00FB3A0D" w:rsidTr="00AC1CBB">
        <w:trPr>
          <w:cantSplit/>
          <w:trHeight w:val="227"/>
          <w:tblHeader/>
          <w:jc w:val="center"/>
        </w:trPr>
        <w:tc>
          <w:tcPr>
            <w:tcW w:w="3685" w:type="dxa"/>
            <w:vMerge w:val="restart"/>
            <w:shd w:val="clear" w:color="auto" w:fill="BFBFBF"/>
            <w:noWrap/>
            <w:vAlign w:val="center"/>
          </w:tcPr>
          <w:p w:rsidR="00FB2534" w:rsidRPr="00FB3A0D" w:rsidRDefault="00FB2534" w:rsidP="001D6A64">
            <w:pPr>
              <w:jc w:val="center"/>
              <w:rPr>
                <w:rFonts w:ascii="Calibri" w:hAnsi="Calibri"/>
                <w:b/>
                <w:bCs/>
                <w:color w:val="000000"/>
                <w:sz w:val="18"/>
                <w:szCs w:val="18"/>
              </w:rPr>
            </w:pPr>
            <w:r>
              <w:rPr>
                <w:rFonts w:ascii="Calibri" w:hAnsi="Calibri"/>
                <w:b/>
                <w:bCs/>
                <w:color w:val="000000"/>
                <w:sz w:val="18"/>
                <w:szCs w:val="18"/>
              </w:rPr>
              <w:t>Sposób unieszkodliwiania odpadów</w:t>
            </w:r>
          </w:p>
        </w:tc>
        <w:tc>
          <w:tcPr>
            <w:tcW w:w="5122" w:type="dxa"/>
            <w:gridSpan w:val="3"/>
            <w:shd w:val="clear" w:color="auto" w:fill="BFBFBF"/>
            <w:noWrap/>
            <w:vAlign w:val="center"/>
          </w:tcPr>
          <w:p w:rsidR="00FB2534" w:rsidRPr="00FB3A0D" w:rsidRDefault="00FB2534" w:rsidP="001D6A64">
            <w:pPr>
              <w:jc w:val="center"/>
              <w:rPr>
                <w:rFonts w:ascii="Calibri" w:hAnsi="Calibri"/>
                <w:b/>
                <w:bCs/>
                <w:sz w:val="18"/>
                <w:szCs w:val="18"/>
              </w:rPr>
            </w:pPr>
            <w:r>
              <w:rPr>
                <w:rFonts w:ascii="Calibri" w:hAnsi="Calibri"/>
                <w:b/>
                <w:bCs/>
                <w:sz w:val="18"/>
                <w:szCs w:val="18"/>
              </w:rPr>
              <w:t>W</w:t>
            </w:r>
            <w:r w:rsidRPr="00FB3A0D">
              <w:rPr>
                <w:rFonts w:ascii="Calibri" w:hAnsi="Calibri"/>
                <w:b/>
                <w:bCs/>
                <w:sz w:val="18"/>
                <w:szCs w:val="18"/>
              </w:rPr>
              <w:t>skaźniki emisji</w:t>
            </w:r>
            <w:r>
              <w:rPr>
                <w:rFonts w:ascii="Calibri" w:hAnsi="Calibri"/>
                <w:b/>
                <w:bCs/>
                <w:sz w:val="18"/>
                <w:szCs w:val="18"/>
              </w:rPr>
              <w:t xml:space="preserve"> gazów cieplarnianych [Mg/Mg odpadów]*</w:t>
            </w:r>
          </w:p>
        </w:tc>
      </w:tr>
      <w:tr w:rsidR="00FB2534" w:rsidRPr="00FB3A0D" w:rsidTr="00AC1CBB">
        <w:trPr>
          <w:cantSplit/>
          <w:trHeight w:val="227"/>
          <w:tblHeader/>
          <w:jc w:val="center"/>
        </w:trPr>
        <w:tc>
          <w:tcPr>
            <w:tcW w:w="3685" w:type="dxa"/>
            <w:vMerge/>
            <w:shd w:val="clear" w:color="auto" w:fill="BFBFBF"/>
            <w:noWrap/>
            <w:vAlign w:val="center"/>
          </w:tcPr>
          <w:p w:rsidR="00FB2534" w:rsidRPr="00FB3A0D" w:rsidRDefault="00FB2534" w:rsidP="001D6A64">
            <w:pPr>
              <w:rPr>
                <w:rFonts w:ascii="Calibri" w:hAnsi="Calibri"/>
                <w:b/>
                <w:bCs/>
                <w:sz w:val="18"/>
                <w:szCs w:val="18"/>
              </w:rPr>
            </w:pPr>
          </w:p>
        </w:tc>
        <w:tc>
          <w:tcPr>
            <w:tcW w:w="1772" w:type="dxa"/>
            <w:shd w:val="clear" w:color="auto" w:fill="BFBFBF"/>
            <w:noWrap/>
            <w:vAlign w:val="center"/>
          </w:tcPr>
          <w:p w:rsidR="00FB2534" w:rsidRPr="00FB3A0D" w:rsidRDefault="00FB2534" w:rsidP="001D6A64">
            <w:pPr>
              <w:jc w:val="center"/>
              <w:rPr>
                <w:rFonts w:ascii="Calibri" w:hAnsi="Calibri"/>
                <w:b/>
                <w:bCs/>
                <w:color w:val="000000"/>
                <w:sz w:val="18"/>
                <w:szCs w:val="18"/>
              </w:rPr>
            </w:pPr>
            <w:r w:rsidRPr="00FB3A0D">
              <w:rPr>
                <w:rFonts w:ascii="Calibri" w:hAnsi="Calibri"/>
                <w:b/>
                <w:bCs/>
                <w:color w:val="000000"/>
                <w:sz w:val="18"/>
                <w:szCs w:val="18"/>
              </w:rPr>
              <w:t>CH</w:t>
            </w:r>
            <w:r w:rsidRPr="00FB3A0D">
              <w:rPr>
                <w:rFonts w:ascii="Calibri" w:hAnsi="Calibri"/>
                <w:b/>
                <w:bCs/>
                <w:color w:val="000000"/>
                <w:sz w:val="18"/>
                <w:szCs w:val="18"/>
                <w:vertAlign w:val="subscript"/>
              </w:rPr>
              <w:t>4</w:t>
            </w:r>
          </w:p>
        </w:tc>
        <w:tc>
          <w:tcPr>
            <w:tcW w:w="1739" w:type="dxa"/>
            <w:shd w:val="clear" w:color="auto" w:fill="BFBFBF"/>
            <w:noWrap/>
            <w:vAlign w:val="center"/>
          </w:tcPr>
          <w:p w:rsidR="00FB2534" w:rsidRPr="00FB3A0D" w:rsidRDefault="00FB2534" w:rsidP="001D6A64">
            <w:pPr>
              <w:jc w:val="center"/>
              <w:rPr>
                <w:rFonts w:ascii="Calibri" w:hAnsi="Calibri"/>
                <w:b/>
                <w:bCs/>
                <w:color w:val="000000"/>
                <w:sz w:val="18"/>
                <w:szCs w:val="18"/>
              </w:rPr>
            </w:pPr>
            <w:r w:rsidRPr="00FB3A0D">
              <w:rPr>
                <w:rFonts w:ascii="Calibri" w:hAnsi="Calibri"/>
                <w:b/>
                <w:bCs/>
                <w:color w:val="000000"/>
                <w:sz w:val="18"/>
                <w:szCs w:val="18"/>
              </w:rPr>
              <w:t>N</w:t>
            </w:r>
            <w:r w:rsidRPr="00FB3A0D">
              <w:rPr>
                <w:rFonts w:ascii="Calibri" w:hAnsi="Calibri"/>
                <w:b/>
                <w:bCs/>
                <w:color w:val="000000"/>
                <w:sz w:val="18"/>
                <w:szCs w:val="18"/>
                <w:vertAlign w:val="subscript"/>
              </w:rPr>
              <w:t>2</w:t>
            </w:r>
            <w:r w:rsidRPr="00FB3A0D">
              <w:rPr>
                <w:rFonts w:ascii="Calibri" w:hAnsi="Calibri"/>
                <w:b/>
                <w:bCs/>
                <w:color w:val="000000"/>
                <w:sz w:val="18"/>
                <w:szCs w:val="18"/>
              </w:rPr>
              <w:t>O</w:t>
            </w:r>
          </w:p>
        </w:tc>
        <w:tc>
          <w:tcPr>
            <w:tcW w:w="1611" w:type="dxa"/>
            <w:shd w:val="clear" w:color="auto" w:fill="BFBFBF"/>
            <w:noWrap/>
            <w:vAlign w:val="center"/>
          </w:tcPr>
          <w:p w:rsidR="00FB2534" w:rsidRPr="00FB3A0D" w:rsidRDefault="00FB2534" w:rsidP="001D6A64">
            <w:pPr>
              <w:jc w:val="center"/>
              <w:rPr>
                <w:rFonts w:ascii="Calibri" w:hAnsi="Calibri"/>
                <w:b/>
                <w:bCs/>
                <w:color w:val="000000"/>
                <w:sz w:val="18"/>
                <w:szCs w:val="18"/>
              </w:rPr>
            </w:pPr>
            <w:r w:rsidRPr="00FB3A0D">
              <w:rPr>
                <w:rFonts w:ascii="Calibri" w:hAnsi="Calibri"/>
                <w:b/>
                <w:bCs/>
                <w:color w:val="000000"/>
                <w:sz w:val="18"/>
                <w:szCs w:val="18"/>
              </w:rPr>
              <w:t>CO</w:t>
            </w:r>
            <w:r w:rsidRPr="00FB3A0D">
              <w:rPr>
                <w:rFonts w:ascii="Calibri" w:hAnsi="Calibri"/>
                <w:b/>
                <w:bCs/>
                <w:color w:val="000000"/>
                <w:sz w:val="18"/>
                <w:szCs w:val="18"/>
                <w:vertAlign w:val="subscript"/>
              </w:rPr>
              <w:t>2</w:t>
            </w:r>
          </w:p>
        </w:tc>
      </w:tr>
      <w:tr w:rsidR="00FB2534" w:rsidRPr="00463C3F" w:rsidTr="00AC1CBB">
        <w:trPr>
          <w:cantSplit/>
          <w:trHeight w:val="227"/>
          <w:jc w:val="center"/>
        </w:trPr>
        <w:tc>
          <w:tcPr>
            <w:tcW w:w="3685" w:type="dxa"/>
            <w:noWrap/>
            <w:vAlign w:val="center"/>
          </w:tcPr>
          <w:p w:rsidR="00FB2534" w:rsidRPr="00463C3F" w:rsidRDefault="00FB2534" w:rsidP="001D6A64">
            <w:pPr>
              <w:rPr>
                <w:rFonts w:ascii="Calibri" w:hAnsi="Calibri"/>
                <w:iCs/>
                <w:sz w:val="18"/>
                <w:szCs w:val="18"/>
              </w:rPr>
            </w:pPr>
            <w:r>
              <w:rPr>
                <w:rFonts w:ascii="Calibri" w:hAnsi="Calibri"/>
                <w:iCs/>
                <w:sz w:val="18"/>
                <w:szCs w:val="18"/>
              </w:rPr>
              <w:t>składowanie odpadów</w:t>
            </w:r>
          </w:p>
        </w:tc>
        <w:tc>
          <w:tcPr>
            <w:tcW w:w="1772" w:type="dxa"/>
            <w:noWrap/>
            <w:vAlign w:val="center"/>
          </w:tcPr>
          <w:p w:rsidR="00FB2534" w:rsidRPr="00463C3F" w:rsidRDefault="00FB2534" w:rsidP="001D6A64">
            <w:pPr>
              <w:jc w:val="right"/>
              <w:rPr>
                <w:rFonts w:ascii="Calibri" w:hAnsi="Calibri"/>
                <w:iCs/>
                <w:sz w:val="18"/>
                <w:szCs w:val="18"/>
              </w:rPr>
            </w:pPr>
            <w:r w:rsidRPr="00463C3F">
              <w:rPr>
                <w:rFonts w:ascii="Calibri" w:hAnsi="Calibri"/>
                <w:iCs/>
                <w:sz w:val="18"/>
                <w:szCs w:val="18"/>
              </w:rPr>
              <w:t>0,057</w:t>
            </w:r>
          </w:p>
        </w:tc>
        <w:tc>
          <w:tcPr>
            <w:tcW w:w="1739" w:type="dxa"/>
            <w:shd w:val="clear" w:color="auto" w:fill="D9D9D9"/>
            <w:noWrap/>
            <w:vAlign w:val="center"/>
          </w:tcPr>
          <w:p w:rsidR="00FB2534" w:rsidRPr="00463C3F" w:rsidRDefault="00FB2534" w:rsidP="001D6A64">
            <w:pPr>
              <w:rPr>
                <w:rFonts w:ascii="Calibri" w:hAnsi="Calibri"/>
                <w:iCs/>
                <w:sz w:val="18"/>
                <w:szCs w:val="18"/>
              </w:rPr>
            </w:pPr>
            <w:r w:rsidRPr="00463C3F">
              <w:rPr>
                <w:rFonts w:ascii="Calibri" w:hAnsi="Calibri"/>
                <w:iCs/>
                <w:sz w:val="18"/>
                <w:szCs w:val="18"/>
              </w:rPr>
              <w:t> </w:t>
            </w:r>
          </w:p>
        </w:tc>
        <w:tc>
          <w:tcPr>
            <w:tcW w:w="1611" w:type="dxa"/>
            <w:noWrap/>
            <w:vAlign w:val="center"/>
          </w:tcPr>
          <w:p w:rsidR="00FB2534" w:rsidRPr="00463C3F" w:rsidRDefault="00FB2534" w:rsidP="001D6A64">
            <w:pPr>
              <w:jc w:val="right"/>
              <w:rPr>
                <w:rFonts w:ascii="Calibri" w:hAnsi="Calibri"/>
                <w:iCs/>
                <w:sz w:val="18"/>
                <w:szCs w:val="18"/>
              </w:rPr>
            </w:pPr>
            <w:r w:rsidRPr="00463C3F">
              <w:rPr>
                <w:rFonts w:ascii="Calibri" w:hAnsi="Calibri"/>
                <w:iCs/>
                <w:sz w:val="18"/>
                <w:szCs w:val="18"/>
              </w:rPr>
              <w:t>0,047</w:t>
            </w:r>
          </w:p>
        </w:tc>
      </w:tr>
      <w:tr w:rsidR="00FB2534" w:rsidRPr="00FB3A0D" w:rsidTr="00AC1CBB">
        <w:trPr>
          <w:cantSplit/>
          <w:trHeight w:val="227"/>
          <w:jc w:val="center"/>
        </w:trPr>
        <w:tc>
          <w:tcPr>
            <w:tcW w:w="3685" w:type="dxa"/>
            <w:noWrap/>
            <w:vAlign w:val="center"/>
          </w:tcPr>
          <w:p w:rsidR="00FB2534" w:rsidRPr="00FB3A0D" w:rsidRDefault="00FB2534" w:rsidP="001D6A64">
            <w:pPr>
              <w:rPr>
                <w:rFonts w:ascii="Calibri" w:hAnsi="Calibri"/>
                <w:sz w:val="18"/>
                <w:szCs w:val="18"/>
              </w:rPr>
            </w:pPr>
            <w:r w:rsidRPr="00463C3F">
              <w:rPr>
                <w:rFonts w:ascii="Calibri" w:hAnsi="Calibri"/>
                <w:bCs/>
                <w:sz w:val="18"/>
                <w:szCs w:val="18"/>
              </w:rPr>
              <w:t>spalanie odpadów</w:t>
            </w:r>
            <w:r w:rsidRPr="00FB3A0D">
              <w:rPr>
                <w:rFonts w:ascii="Calibri" w:hAnsi="Calibri"/>
                <w:sz w:val="18"/>
                <w:szCs w:val="18"/>
              </w:rPr>
              <w:t xml:space="preserve"> komunalnych</w:t>
            </w:r>
          </w:p>
        </w:tc>
        <w:tc>
          <w:tcPr>
            <w:tcW w:w="1772" w:type="dxa"/>
            <w:shd w:val="clear" w:color="auto" w:fill="D9D9D9"/>
            <w:noWrap/>
            <w:vAlign w:val="center"/>
          </w:tcPr>
          <w:p w:rsidR="00FB2534" w:rsidRPr="00FB3A0D" w:rsidRDefault="00FB2534" w:rsidP="001D6A64">
            <w:pPr>
              <w:rPr>
                <w:rFonts w:ascii="Calibri" w:hAnsi="Calibri"/>
                <w:sz w:val="18"/>
                <w:szCs w:val="18"/>
              </w:rPr>
            </w:pPr>
            <w:r w:rsidRPr="00FB3A0D">
              <w:rPr>
                <w:rFonts w:ascii="Calibri" w:hAnsi="Calibri"/>
                <w:sz w:val="18"/>
                <w:szCs w:val="18"/>
              </w:rPr>
              <w:t> </w:t>
            </w:r>
          </w:p>
        </w:tc>
        <w:tc>
          <w:tcPr>
            <w:tcW w:w="1739" w:type="dxa"/>
            <w:noWrap/>
            <w:vAlign w:val="center"/>
          </w:tcPr>
          <w:p w:rsidR="00FB2534" w:rsidRPr="00FB3A0D" w:rsidRDefault="00FB2534" w:rsidP="001D6A64">
            <w:pPr>
              <w:jc w:val="right"/>
              <w:rPr>
                <w:rFonts w:ascii="Calibri" w:hAnsi="Calibri"/>
                <w:sz w:val="18"/>
                <w:szCs w:val="18"/>
              </w:rPr>
            </w:pPr>
            <w:r w:rsidRPr="00FB3A0D">
              <w:rPr>
                <w:rFonts w:ascii="Calibri" w:hAnsi="Calibri"/>
                <w:sz w:val="18"/>
                <w:szCs w:val="18"/>
              </w:rPr>
              <w:t>0,000008</w:t>
            </w:r>
          </w:p>
        </w:tc>
        <w:tc>
          <w:tcPr>
            <w:tcW w:w="1611" w:type="dxa"/>
            <w:noWrap/>
            <w:vAlign w:val="center"/>
          </w:tcPr>
          <w:p w:rsidR="00FB2534" w:rsidRPr="00FB3A0D" w:rsidRDefault="00FB2534" w:rsidP="001D6A64">
            <w:pPr>
              <w:jc w:val="right"/>
              <w:rPr>
                <w:rFonts w:ascii="Calibri" w:hAnsi="Calibri"/>
                <w:sz w:val="18"/>
                <w:szCs w:val="18"/>
              </w:rPr>
            </w:pPr>
            <w:r w:rsidRPr="00FB3A0D">
              <w:rPr>
                <w:rFonts w:ascii="Calibri" w:hAnsi="Calibri"/>
                <w:sz w:val="18"/>
                <w:szCs w:val="18"/>
              </w:rPr>
              <w:t>1</w:t>
            </w:r>
            <w:r>
              <w:rPr>
                <w:rFonts w:ascii="Calibri" w:hAnsi="Calibri"/>
                <w:sz w:val="18"/>
                <w:szCs w:val="18"/>
              </w:rPr>
              <w:t>,000</w:t>
            </w:r>
          </w:p>
        </w:tc>
      </w:tr>
      <w:tr w:rsidR="00FB2534" w:rsidRPr="00FB3A0D" w:rsidTr="00AC1CBB">
        <w:trPr>
          <w:cantSplit/>
          <w:trHeight w:val="227"/>
          <w:jc w:val="center"/>
        </w:trPr>
        <w:tc>
          <w:tcPr>
            <w:tcW w:w="3685" w:type="dxa"/>
            <w:noWrap/>
            <w:vAlign w:val="center"/>
          </w:tcPr>
          <w:p w:rsidR="00FB2534" w:rsidRPr="00FB3A0D" w:rsidRDefault="00FB2534" w:rsidP="001D6A64">
            <w:pPr>
              <w:rPr>
                <w:rFonts w:ascii="Calibri" w:hAnsi="Calibri"/>
                <w:sz w:val="18"/>
                <w:szCs w:val="18"/>
              </w:rPr>
            </w:pPr>
            <w:r w:rsidRPr="00463C3F">
              <w:rPr>
                <w:rFonts w:ascii="Calibri" w:hAnsi="Calibri"/>
                <w:bCs/>
                <w:sz w:val="18"/>
                <w:szCs w:val="18"/>
              </w:rPr>
              <w:t>spalanie odpadów</w:t>
            </w:r>
            <w:r w:rsidRPr="00FB3A0D">
              <w:rPr>
                <w:rFonts w:ascii="Calibri" w:hAnsi="Calibri"/>
                <w:sz w:val="18"/>
                <w:szCs w:val="18"/>
              </w:rPr>
              <w:t xml:space="preserve"> przemysłowych</w:t>
            </w:r>
          </w:p>
        </w:tc>
        <w:tc>
          <w:tcPr>
            <w:tcW w:w="1772" w:type="dxa"/>
            <w:shd w:val="clear" w:color="auto" w:fill="D9D9D9"/>
            <w:noWrap/>
            <w:vAlign w:val="center"/>
          </w:tcPr>
          <w:p w:rsidR="00FB2534" w:rsidRPr="00FB3A0D" w:rsidRDefault="00FB2534" w:rsidP="001D6A64">
            <w:pPr>
              <w:rPr>
                <w:rFonts w:ascii="Calibri" w:hAnsi="Calibri"/>
                <w:sz w:val="18"/>
                <w:szCs w:val="18"/>
              </w:rPr>
            </w:pPr>
            <w:r w:rsidRPr="00FB3A0D">
              <w:rPr>
                <w:rFonts w:ascii="Calibri" w:hAnsi="Calibri"/>
                <w:sz w:val="18"/>
                <w:szCs w:val="18"/>
              </w:rPr>
              <w:t> </w:t>
            </w:r>
          </w:p>
        </w:tc>
        <w:tc>
          <w:tcPr>
            <w:tcW w:w="1739" w:type="dxa"/>
            <w:noWrap/>
            <w:vAlign w:val="center"/>
          </w:tcPr>
          <w:p w:rsidR="00FB2534" w:rsidRPr="00FB3A0D" w:rsidRDefault="00FB2534" w:rsidP="001D6A64">
            <w:pPr>
              <w:jc w:val="right"/>
              <w:rPr>
                <w:rFonts w:ascii="Calibri" w:hAnsi="Calibri"/>
                <w:sz w:val="18"/>
                <w:szCs w:val="18"/>
              </w:rPr>
            </w:pPr>
            <w:r w:rsidRPr="00FB3A0D">
              <w:rPr>
                <w:rFonts w:ascii="Calibri" w:hAnsi="Calibri"/>
                <w:sz w:val="18"/>
                <w:szCs w:val="18"/>
              </w:rPr>
              <w:t>0,00021</w:t>
            </w:r>
            <w:r>
              <w:rPr>
                <w:rFonts w:ascii="Calibri" w:hAnsi="Calibri"/>
                <w:sz w:val="18"/>
                <w:szCs w:val="18"/>
              </w:rPr>
              <w:t>0</w:t>
            </w:r>
          </w:p>
        </w:tc>
        <w:tc>
          <w:tcPr>
            <w:tcW w:w="1611" w:type="dxa"/>
            <w:noWrap/>
            <w:vAlign w:val="center"/>
          </w:tcPr>
          <w:p w:rsidR="00FB2534" w:rsidRPr="00FB3A0D" w:rsidRDefault="00FB2534" w:rsidP="001D6A64">
            <w:pPr>
              <w:jc w:val="right"/>
              <w:rPr>
                <w:rFonts w:ascii="Calibri" w:hAnsi="Calibri"/>
                <w:sz w:val="18"/>
                <w:szCs w:val="18"/>
              </w:rPr>
            </w:pPr>
            <w:r>
              <w:rPr>
                <w:rFonts w:ascii="Calibri" w:hAnsi="Calibri"/>
                <w:sz w:val="18"/>
                <w:szCs w:val="18"/>
              </w:rPr>
              <w:t>0,498</w:t>
            </w:r>
          </w:p>
        </w:tc>
      </w:tr>
      <w:tr w:rsidR="00FB2534" w:rsidRPr="00FB3A0D" w:rsidTr="00AC1CBB">
        <w:trPr>
          <w:cantSplit/>
          <w:trHeight w:val="227"/>
          <w:jc w:val="center"/>
        </w:trPr>
        <w:tc>
          <w:tcPr>
            <w:tcW w:w="3685" w:type="dxa"/>
            <w:noWrap/>
            <w:vAlign w:val="center"/>
          </w:tcPr>
          <w:p w:rsidR="00FB2534" w:rsidRPr="00FB3A0D" w:rsidRDefault="00FB2534" w:rsidP="001D6A64">
            <w:pPr>
              <w:rPr>
                <w:rFonts w:ascii="Calibri" w:hAnsi="Calibri"/>
                <w:sz w:val="18"/>
                <w:szCs w:val="18"/>
              </w:rPr>
            </w:pPr>
            <w:r w:rsidRPr="00463C3F">
              <w:rPr>
                <w:rFonts w:ascii="Calibri" w:hAnsi="Calibri"/>
                <w:bCs/>
                <w:sz w:val="18"/>
                <w:szCs w:val="18"/>
              </w:rPr>
              <w:t>spalanie odpadów</w:t>
            </w:r>
            <w:r w:rsidRPr="00FB3A0D">
              <w:rPr>
                <w:rFonts w:ascii="Calibri" w:hAnsi="Calibri"/>
                <w:sz w:val="18"/>
                <w:szCs w:val="18"/>
              </w:rPr>
              <w:t xml:space="preserve"> medycznych</w:t>
            </w:r>
          </w:p>
        </w:tc>
        <w:tc>
          <w:tcPr>
            <w:tcW w:w="1772" w:type="dxa"/>
            <w:shd w:val="clear" w:color="auto" w:fill="D9D9D9"/>
            <w:noWrap/>
            <w:vAlign w:val="center"/>
          </w:tcPr>
          <w:p w:rsidR="00FB2534" w:rsidRPr="00FB3A0D" w:rsidRDefault="00FB2534" w:rsidP="001D6A64">
            <w:pPr>
              <w:rPr>
                <w:rFonts w:ascii="Calibri" w:hAnsi="Calibri"/>
                <w:sz w:val="18"/>
                <w:szCs w:val="18"/>
              </w:rPr>
            </w:pPr>
            <w:r w:rsidRPr="00FB3A0D">
              <w:rPr>
                <w:rFonts w:ascii="Calibri" w:hAnsi="Calibri"/>
                <w:sz w:val="18"/>
                <w:szCs w:val="18"/>
              </w:rPr>
              <w:t> </w:t>
            </w:r>
          </w:p>
        </w:tc>
        <w:tc>
          <w:tcPr>
            <w:tcW w:w="1739" w:type="dxa"/>
            <w:shd w:val="clear" w:color="auto" w:fill="D9D9D9"/>
            <w:noWrap/>
            <w:vAlign w:val="center"/>
          </w:tcPr>
          <w:p w:rsidR="00FB2534" w:rsidRPr="00FB3A0D" w:rsidRDefault="00FB2534" w:rsidP="001D6A64">
            <w:pPr>
              <w:rPr>
                <w:rFonts w:ascii="Calibri" w:hAnsi="Calibri"/>
                <w:sz w:val="18"/>
                <w:szCs w:val="18"/>
              </w:rPr>
            </w:pPr>
            <w:r w:rsidRPr="00FB3A0D">
              <w:rPr>
                <w:rFonts w:ascii="Calibri" w:hAnsi="Calibri"/>
                <w:sz w:val="18"/>
                <w:szCs w:val="18"/>
              </w:rPr>
              <w:t> </w:t>
            </w:r>
          </w:p>
        </w:tc>
        <w:tc>
          <w:tcPr>
            <w:tcW w:w="1611" w:type="dxa"/>
            <w:noWrap/>
            <w:vAlign w:val="center"/>
          </w:tcPr>
          <w:p w:rsidR="00FB2534" w:rsidRPr="00FB3A0D" w:rsidRDefault="00FB2534" w:rsidP="001D6A64">
            <w:pPr>
              <w:jc w:val="right"/>
              <w:rPr>
                <w:rFonts w:ascii="Calibri" w:hAnsi="Calibri"/>
                <w:sz w:val="18"/>
                <w:szCs w:val="18"/>
              </w:rPr>
            </w:pPr>
            <w:r w:rsidRPr="00FB3A0D">
              <w:rPr>
                <w:rFonts w:ascii="Calibri" w:hAnsi="Calibri"/>
                <w:sz w:val="18"/>
                <w:szCs w:val="18"/>
              </w:rPr>
              <w:t>0</w:t>
            </w:r>
            <w:r>
              <w:rPr>
                <w:rFonts w:ascii="Calibri" w:hAnsi="Calibri"/>
                <w:sz w:val="18"/>
                <w:szCs w:val="18"/>
              </w:rPr>
              <w:t>,570</w:t>
            </w:r>
          </w:p>
        </w:tc>
      </w:tr>
      <w:tr w:rsidR="00FB2534" w:rsidRPr="00FB3A0D" w:rsidTr="00AC1CBB">
        <w:trPr>
          <w:cantSplit/>
          <w:trHeight w:val="227"/>
          <w:jc w:val="center"/>
        </w:trPr>
        <w:tc>
          <w:tcPr>
            <w:tcW w:w="3685" w:type="dxa"/>
            <w:noWrap/>
            <w:vAlign w:val="center"/>
          </w:tcPr>
          <w:p w:rsidR="00FB2534" w:rsidRPr="00FB3A0D" w:rsidRDefault="00FB2534" w:rsidP="001D6A64">
            <w:pPr>
              <w:rPr>
                <w:rFonts w:ascii="Calibri" w:hAnsi="Calibri"/>
                <w:sz w:val="18"/>
                <w:szCs w:val="18"/>
              </w:rPr>
            </w:pPr>
            <w:r w:rsidRPr="00463C3F">
              <w:rPr>
                <w:rFonts w:ascii="Calibri" w:hAnsi="Calibri"/>
                <w:bCs/>
                <w:sz w:val="18"/>
                <w:szCs w:val="18"/>
              </w:rPr>
              <w:t xml:space="preserve">spalanie </w:t>
            </w:r>
            <w:r>
              <w:rPr>
                <w:rFonts w:ascii="Calibri" w:hAnsi="Calibri"/>
                <w:bCs/>
                <w:sz w:val="18"/>
                <w:szCs w:val="18"/>
              </w:rPr>
              <w:t>osadów</w:t>
            </w:r>
            <w:r w:rsidRPr="00FB3A0D">
              <w:rPr>
                <w:rFonts w:ascii="Calibri" w:hAnsi="Calibri"/>
                <w:sz w:val="18"/>
                <w:szCs w:val="18"/>
              </w:rPr>
              <w:t xml:space="preserve"> </w:t>
            </w:r>
            <w:r>
              <w:rPr>
                <w:rFonts w:ascii="Calibri" w:hAnsi="Calibri"/>
                <w:sz w:val="18"/>
                <w:szCs w:val="18"/>
              </w:rPr>
              <w:t>ś</w:t>
            </w:r>
            <w:r w:rsidRPr="00FB3A0D">
              <w:rPr>
                <w:rFonts w:ascii="Calibri" w:hAnsi="Calibri"/>
                <w:sz w:val="18"/>
                <w:szCs w:val="18"/>
              </w:rPr>
              <w:t>ciekowych</w:t>
            </w:r>
          </w:p>
        </w:tc>
        <w:tc>
          <w:tcPr>
            <w:tcW w:w="1772" w:type="dxa"/>
            <w:shd w:val="clear" w:color="auto" w:fill="D9D9D9"/>
            <w:noWrap/>
            <w:vAlign w:val="center"/>
          </w:tcPr>
          <w:p w:rsidR="00FB2534" w:rsidRPr="00FB3A0D" w:rsidRDefault="00FB2534" w:rsidP="001D6A64">
            <w:pPr>
              <w:rPr>
                <w:rFonts w:ascii="Calibri" w:hAnsi="Calibri"/>
                <w:sz w:val="18"/>
                <w:szCs w:val="18"/>
              </w:rPr>
            </w:pPr>
            <w:r w:rsidRPr="00FB3A0D">
              <w:rPr>
                <w:rFonts w:ascii="Calibri" w:hAnsi="Calibri"/>
                <w:sz w:val="18"/>
                <w:szCs w:val="18"/>
              </w:rPr>
              <w:t> </w:t>
            </w:r>
          </w:p>
        </w:tc>
        <w:tc>
          <w:tcPr>
            <w:tcW w:w="1739" w:type="dxa"/>
            <w:noWrap/>
            <w:vAlign w:val="center"/>
          </w:tcPr>
          <w:p w:rsidR="00FB2534" w:rsidRPr="00FB3A0D" w:rsidRDefault="00FB2534" w:rsidP="001D6A64">
            <w:pPr>
              <w:jc w:val="right"/>
              <w:rPr>
                <w:rFonts w:ascii="Calibri" w:hAnsi="Calibri"/>
                <w:sz w:val="18"/>
                <w:szCs w:val="18"/>
              </w:rPr>
            </w:pPr>
            <w:r w:rsidRPr="00FB3A0D">
              <w:rPr>
                <w:rFonts w:ascii="Calibri" w:hAnsi="Calibri"/>
                <w:sz w:val="18"/>
                <w:szCs w:val="18"/>
              </w:rPr>
              <w:t>0,0008</w:t>
            </w:r>
            <w:r>
              <w:rPr>
                <w:rFonts w:ascii="Calibri" w:hAnsi="Calibri"/>
                <w:sz w:val="18"/>
                <w:szCs w:val="18"/>
              </w:rPr>
              <w:t>00</w:t>
            </w:r>
          </w:p>
        </w:tc>
        <w:tc>
          <w:tcPr>
            <w:tcW w:w="1611" w:type="dxa"/>
            <w:noWrap/>
            <w:vAlign w:val="center"/>
          </w:tcPr>
          <w:p w:rsidR="00FB2534" w:rsidRPr="00FB3A0D" w:rsidRDefault="00FB2534" w:rsidP="001D6A64">
            <w:pPr>
              <w:jc w:val="right"/>
              <w:rPr>
                <w:rFonts w:ascii="Calibri" w:hAnsi="Calibri"/>
                <w:sz w:val="18"/>
                <w:szCs w:val="18"/>
              </w:rPr>
            </w:pPr>
            <w:r>
              <w:rPr>
                <w:rFonts w:ascii="Calibri" w:hAnsi="Calibri"/>
                <w:sz w:val="18"/>
                <w:szCs w:val="18"/>
              </w:rPr>
              <w:t>0,285</w:t>
            </w:r>
          </w:p>
        </w:tc>
      </w:tr>
    </w:tbl>
    <w:p w:rsidR="00FB2534" w:rsidRDefault="00FB2534" w:rsidP="00E53A06">
      <w:pPr>
        <w:pStyle w:val="GOMwypkt"/>
        <w:numPr>
          <w:ilvl w:val="0"/>
          <w:numId w:val="0"/>
        </w:numPr>
      </w:pPr>
      <w:r w:rsidRPr="008416BD">
        <w:t>*</w:t>
      </w:r>
      <w:r>
        <w:t xml:space="preserve"> - wskaźniki emisji określa się dla ilości odpadów zgromadzonych w ciągu roku lub spalonych w ciągu roku</w:t>
      </w:r>
    </w:p>
    <w:p w:rsidR="00FB2534" w:rsidRDefault="00FB2534">
      <w:pPr>
        <w:rPr>
          <w:rFonts w:ascii="Calibri" w:hAnsi="Calibri"/>
          <w:sz w:val="20"/>
          <w:szCs w:val="20"/>
        </w:rPr>
      </w:pPr>
      <w:r>
        <w:br w:type="page"/>
      </w:r>
    </w:p>
    <w:p w:rsidR="00FB2534" w:rsidRDefault="00FB2534" w:rsidP="00E53A06">
      <w:pPr>
        <w:pStyle w:val="GOMnormal"/>
      </w:pPr>
      <w:r>
        <w:t>Wielkość emisji z gospodarki odpadami obliczono z następującego wzoru:</w:t>
      </w:r>
    </w:p>
    <w:p w:rsidR="00FB2534" w:rsidRPr="00F52460" w:rsidRDefault="00FB2534" w:rsidP="00E53A06">
      <w:pPr>
        <w:pStyle w:val="GOMnormal"/>
        <w:rPr>
          <w:sz w:val="28"/>
          <w:szCs w:val="28"/>
        </w:rPr>
      </w:pPr>
      <w:r>
        <w:pict>
          <v:shape id="_x0000_i1033" type="#_x0000_t75" style="width:66pt;height:16.5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7E0&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A737E0&quot; wsp:rsidRDefault=&quot;00A737E0&quot; wsp:rsidP=&quot;00A737E0&quot;&gt;&lt;m:oMathPara&gt;&lt;m:oMath&gt;&lt;m:r&gt;&lt;w:rPr&gt;&lt;w:rFonts w:ascii=&quot;Cambria Math&quot; w:h-ansi=&quot;Cambria Math&quot;/&gt;&lt;wx:font wx:val=&quot;Cambria Math&quot;/&gt;&lt;w:i/&gt;&lt;w:sz w:val=&quot;28&quot;/&gt;&lt;w:sz-cs w:val=&quot;28&quot;/&gt;&lt;/w:rPr&gt;&lt;m:t&gt;E=MĂ—&lt;/m:t&gt;&lt;/m:r&gt;&lt;m:sSub&gt;&lt;m:sSubPr&gt;&lt;m:ctrlPr&gt;&lt;w:rPr&gt;&lt;w:rFonts w:ascii=&quot;Cambria Math&quot; w:h-ansi=&quot;Cambria Math&quot;/&gt;&lt;wx:font wx:val=&quot;Cambria Math&quot;/&gt;&lt;w:i/&gt;&lt;w:sz w:val=&quot;28&quot;/&gt;&lt;w:sz-cs w:val=&quot;28&quot;/&gt;&lt;/w:rPr&gt;&lt;/m:ctrlPr&gt;&lt;/m:sSubPr&gt;&lt;m:e&gt;&lt;m:r&gt;&lt;w:rPr&gt;&lt;w:rFonts w:ascii=&quot;Cambria Math&quot; w:h-ansi=&quot;Cambria Math&quot;/&gt;&lt;wx:font wx:val=&quot;Cambria Math&quot;/&gt;&lt;w:i/&gt;&lt;w:sz w:val=&quot;28&quot;/&gt;&lt;w:sz-cs w:val=&quot;28&quot;/&gt;&lt;/w:rPr&gt;&lt;m:t&gt;w&lt;/m:t&gt;&lt;/m:r&gt;&lt;/m:e&gt;&lt;m:sub&gt;&lt;m:r&gt;&lt;w:rPr&gt;&lt;w:rFonts w:ascii=&quot;Cambria Math&quot; w:h-ansi=&quot;Cambria Math&quot;/&gt;&lt;wx:font wx:val=&quot;Cambria Math&quot;/&gt;&lt;w:i/&gt;&lt;w:sz w:val=&quot;28&quot;/&gt;&lt;w:sz-cs w:val=&quot;28&quot;/&gt;&lt;/w:rPr&gt;&lt;m:t&gt;e&lt;/m:t&gt;&lt;/m:r&gt;&lt;/m:sub&gt;&lt;/m:sSub&gt;&lt;/m:oMath&gt;&lt;/m:oMathPara&gt;&lt;/w:p&gt;&lt;w:sectPr wsp:rsidR=&quot;00000000&quot; wsp:rsidRPr=&quot;00A737E0&quot;&gt;&lt;w:pgSz w:w=&quot;12240&quot; w:h=&quot;15840&quot;/&gt;&lt;w:pgMar w:top=&quot;1417&quot; w:right=&quot;1417&quot; w:bottom=&quot;1417&quot; w:left=&quot;1417&quot; w:header=&quot;708&quot; w:footer=&quot;708&quot; w:gutter=&quot;0&quot;/&gt;&lt;w:cols w:space=&quot;708&quot;/&gt;&lt;/w:sectPr&gt;&lt;/wx:sect&gt;&lt;/w:body&gt;&lt;/w:wordDocument&gt;">
            <v:imagedata r:id="rId22" o:title="" chromakey="white"/>
          </v:shape>
        </w:pict>
      </w:r>
    </w:p>
    <w:p w:rsidR="00FB2534" w:rsidRDefault="00FB2534" w:rsidP="00E53A06">
      <w:pPr>
        <w:pStyle w:val="GOMnormal"/>
      </w:pPr>
      <w:r>
        <w:t>gdzie:</w:t>
      </w:r>
    </w:p>
    <w:p w:rsidR="00FB2534" w:rsidRDefault="00FB2534" w:rsidP="00E53A06">
      <w:pPr>
        <w:pStyle w:val="GOMnormal"/>
      </w:pPr>
      <w:r>
        <w:t>E – emisja gazu cieplarnianego [Mg/rok],</w:t>
      </w:r>
    </w:p>
    <w:p w:rsidR="00FB2534" w:rsidRDefault="00FB2534" w:rsidP="00E53A06">
      <w:pPr>
        <w:pStyle w:val="GOMnormal"/>
      </w:pPr>
      <w:r>
        <w:t>M – masa odpadów składowanych w ciągu roku lub spalanych w ciągu roku [Mg/rok],</w:t>
      </w:r>
    </w:p>
    <w:p w:rsidR="00FB2534" w:rsidRDefault="00FB2534" w:rsidP="00E53A06">
      <w:pPr>
        <w:pStyle w:val="GOMnormal"/>
        <w:ind w:left="567" w:hanging="567"/>
      </w:pPr>
      <w:r w:rsidRPr="005A341C">
        <w:t>w</w:t>
      </w:r>
      <w:r w:rsidRPr="005A341C">
        <w:rPr>
          <w:vertAlign w:val="subscript"/>
        </w:rPr>
        <w:t>e</w:t>
      </w:r>
      <w:r>
        <w:t xml:space="preserve"> – wskaźnik emisji gazu cieplarnianego [Mg/(Mg odpadów)].</w:t>
      </w:r>
    </w:p>
    <w:p w:rsidR="00FB2534" w:rsidRPr="00766A9C" w:rsidRDefault="00FB2534" w:rsidP="007F5D8E">
      <w:pPr>
        <w:pStyle w:val="GOMnagl2"/>
        <w:ind w:left="720"/>
      </w:pPr>
      <w:bookmarkStart w:id="143" w:name="_Toc422133341"/>
      <w:r w:rsidRPr="00766A9C">
        <w:t>Wyniki inwentaryzacji emisji dwutlenku węgla</w:t>
      </w:r>
      <w:r>
        <w:t xml:space="preserve"> w Gminie Wiejskiej Malbork</w:t>
      </w:r>
      <w:bookmarkEnd w:id="143"/>
    </w:p>
    <w:p w:rsidR="00FB2534" w:rsidRDefault="00FB2534" w:rsidP="007A7B69">
      <w:pPr>
        <w:pStyle w:val="GOMnormal"/>
      </w:pPr>
      <w:r>
        <w:t>Sumaryczna, oszacowana wielkość emisji CO</w:t>
      </w:r>
      <w:r w:rsidRPr="00EA5E21">
        <w:rPr>
          <w:vertAlign w:val="subscript"/>
        </w:rPr>
        <w:t>2</w:t>
      </w:r>
      <w:r>
        <w:t xml:space="preserve"> ekwiwalentnego dla roku 2013 w Gminie Wiejskiej Malbork wynosi ok. 32,6 tys. Mg CO</w:t>
      </w:r>
      <w:r w:rsidRPr="00EA5E21">
        <w:rPr>
          <w:vertAlign w:val="subscript"/>
        </w:rPr>
        <w:t>2eq</w:t>
      </w:r>
      <w:r>
        <w:t>. Średnio, na jednego mieszkańca gminy przypada obecnie ok. 7,01 Mg CO</w:t>
      </w:r>
      <w:r w:rsidRPr="00EA5E21">
        <w:rPr>
          <w:vertAlign w:val="subscript"/>
        </w:rPr>
        <w:t>2</w:t>
      </w:r>
      <w:r>
        <w:rPr>
          <w:vertAlign w:val="subscript"/>
        </w:rPr>
        <w:t>(eq)</w:t>
      </w:r>
      <w:r>
        <w:t>/rok (przy średniej krajowej w 2010 roku wynoszącej ok. 10,07 Mg CO</w:t>
      </w:r>
      <w:r w:rsidRPr="00EA5E21">
        <w:rPr>
          <w:vertAlign w:val="subscript"/>
        </w:rPr>
        <w:t>2</w:t>
      </w:r>
      <w:r>
        <w:rPr>
          <w:vertAlign w:val="subscript"/>
        </w:rPr>
        <w:t>(eq)</w:t>
      </w:r>
      <w:r>
        <w:t>/rok). Wielkości emisji gazów cieplarnianych oraz wielkość zużycia energii finalnej w roku 2013 w poszczególnych sektorach inwentaryzacji przedstawia poniższa tabela.</w:t>
      </w:r>
    </w:p>
    <w:p w:rsidR="00FB2534" w:rsidRDefault="00FB2534" w:rsidP="007A7B69">
      <w:pPr>
        <w:pStyle w:val="GOMpodpistab"/>
      </w:pPr>
      <w:bookmarkStart w:id="144" w:name="_Toc416981914"/>
      <w:bookmarkStart w:id="145" w:name="_Toc422135101"/>
      <w:r>
        <w:t xml:space="preserve">Tabela </w:t>
      </w:r>
      <w:r>
        <w:fldChar w:fldCharType="begin"/>
      </w:r>
      <w:r>
        <w:instrText xml:space="preserve"> SEQ Tabela \* ARABIC </w:instrText>
      </w:r>
      <w:r>
        <w:fldChar w:fldCharType="separate"/>
      </w:r>
      <w:r>
        <w:rPr>
          <w:noProof/>
        </w:rPr>
        <w:t>8</w:t>
      </w:r>
      <w:r>
        <w:fldChar w:fldCharType="end"/>
      </w:r>
      <w:r>
        <w:t xml:space="preserve">. </w:t>
      </w:r>
      <w:r w:rsidRPr="00F93431">
        <w:t xml:space="preserve">Zużycie energii finalnej oraz emisja gazów cieplarnianych w </w:t>
      </w:r>
      <w:r>
        <w:t>Gminie Wiejskiej Malbork</w:t>
      </w:r>
      <w:r w:rsidRPr="00F93431">
        <w:t xml:space="preserve"> w roku 2013</w:t>
      </w:r>
      <w:bookmarkEnd w:id="144"/>
      <w:r>
        <w:rPr>
          <w:rStyle w:val="FootnoteReference"/>
        </w:rPr>
        <w:footnoteReference w:id="14"/>
      </w:r>
      <w:bookmarkEnd w:id="145"/>
    </w:p>
    <w:tbl>
      <w:tblPr>
        <w:tblW w:w="5000" w:type="pct"/>
        <w:jc w:val="center"/>
        <w:tblCellMar>
          <w:top w:w="28" w:type="dxa"/>
          <w:left w:w="70" w:type="dxa"/>
          <w:bottom w:w="28" w:type="dxa"/>
          <w:right w:w="70" w:type="dxa"/>
        </w:tblCellMar>
        <w:tblLook w:val="00A0" w:firstRow="1" w:lastRow="0" w:firstColumn="1" w:lastColumn="0" w:noHBand="0" w:noVBand="0"/>
      </w:tblPr>
      <w:tblGrid>
        <w:gridCol w:w="2469"/>
        <w:gridCol w:w="1663"/>
        <w:gridCol w:w="1071"/>
        <w:gridCol w:w="1017"/>
        <w:gridCol w:w="1268"/>
        <w:gridCol w:w="1321"/>
      </w:tblGrid>
      <w:tr w:rsidR="00FB2534" w:rsidTr="00556986">
        <w:trPr>
          <w:cantSplit/>
          <w:trHeight w:val="227"/>
          <w:tblHeader/>
          <w:jc w:val="center"/>
        </w:trPr>
        <w:tc>
          <w:tcPr>
            <w:tcW w:w="2467"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sektor</w:t>
            </w:r>
          </w:p>
        </w:tc>
        <w:tc>
          <w:tcPr>
            <w:tcW w:w="1662"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zużycie energii finalnej</w:t>
            </w:r>
          </w:p>
        </w:tc>
        <w:tc>
          <w:tcPr>
            <w:tcW w:w="1071"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emisja CH</w:t>
            </w:r>
            <w:r w:rsidRPr="000B1D5B">
              <w:rPr>
                <w:rFonts w:ascii="Calibri" w:hAnsi="Calibri"/>
                <w:b/>
                <w:bCs/>
                <w:sz w:val="18"/>
                <w:szCs w:val="18"/>
                <w:vertAlign w:val="subscript"/>
              </w:rPr>
              <w:t>4</w:t>
            </w:r>
          </w:p>
        </w:tc>
        <w:tc>
          <w:tcPr>
            <w:tcW w:w="1017"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emisja N</w:t>
            </w:r>
            <w:r w:rsidRPr="000B1D5B">
              <w:rPr>
                <w:rFonts w:ascii="Calibri" w:hAnsi="Calibri"/>
                <w:b/>
                <w:bCs/>
                <w:sz w:val="18"/>
                <w:szCs w:val="18"/>
                <w:vertAlign w:val="subscript"/>
              </w:rPr>
              <w:t>2</w:t>
            </w:r>
            <w:r>
              <w:rPr>
                <w:rFonts w:ascii="Calibri" w:hAnsi="Calibri"/>
                <w:b/>
                <w:bCs/>
                <w:sz w:val="18"/>
                <w:szCs w:val="18"/>
              </w:rPr>
              <w:t>O</w:t>
            </w:r>
          </w:p>
        </w:tc>
        <w:tc>
          <w:tcPr>
            <w:tcW w:w="1268"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emisja CO</w:t>
            </w:r>
            <w:r w:rsidRPr="000B1D5B">
              <w:rPr>
                <w:rFonts w:ascii="Calibri" w:hAnsi="Calibri"/>
                <w:b/>
                <w:bCs/>
                <w:sz w:val="18"/>
                <w:szCs w:val="18"/>
                <w:vertAlign w:val="subscript"/>
              </w:rPr>
              <w:t>2</w:t>
            </w:r>
          </w:p>
        </w:tc>
        <w:tc>
          <w:tcPr>
            <w:tcW w:w="1321"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emisja CO</w:t>
            </w:r>
            <w:r w:rsidRPr="000B1D5B">
              <w:rPr>
                <w:rFonts w:ascii="Calibri" w:hAnsi="Calibri"/>
                <w:b/>
                <w:bCs/>
                <w:sz w:val="18"/>
                <w:szCs w:val="18"/>
                <w:vertAlign w:val="subscript"/>
              </w:rPr>
              <w:t>2(eq)</w:t>
            </w:r>
          </w:p>
        </w:tc>
      </w:tr>
      <w:tr w:rsidR="00FB2534" w:rsidTr="00556986">
        <w:trPr>
          <w:cantSplit/>
          <w:trHeight w:val="227"/>
          <w:tblHeader/>
          <w:jc w:val="center"/>
        </w:trPr>
        <w:tc>
          <w:tcPr>
            <w:tcW w:w="2467" w:type="dxa"/>
            <w:vMerge/>
            <w:tcBorders>
              <w:top w:val="single" w:sz="4" w:space="0" w:color="auto"/>
              <w:left w:val="single" w:sz="4" w:space="0" w:color="auto"/>
              <w:bottom w:val="single" w:sz="4" w:space="0" w:color="000000"/>
              <w:right w:val="single" w:sz="4" w:space="0" w:color="auto"/>
            </w:tcBorders>
            <w:vAlign w:val="center"/>
          </w:tcPr>
          <w:p w:rsidR="00FB2534" w:rsidRDefault="00FB2534" w:rsidP="00556986">
            <w:pPr>
              <w:rPr>
                <w:rFonts w:ascii="Calibri" w:hAnsi="Calibri"/>
                <w:b/>
                <w:bCs/>
                <w:sz w:val="18"/>
                <w:szCs w:val="18"/>
              </w:rPr>
            </w:pPr>
          </w:p>
        </w:tc>
        <w:tc>
          <w:tcPr>
            <w:tcW w:w="1662"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[MWh]</w:t>
            </w:r>
          </w:p>
        </w:tc>
        <w:tc>
          <w:tcPr>
            <w:tcW w:w="1071" w:type="dxa"/>
            <w:tcBorders>
              <w:top w:val="nil"/>
              <w:left w:val="nil"/>
              <w:bottom w:val="single" w:sz="4" w:space="0" w:color="auto"/>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[Mg/rok]</w:t>
            </w:r>
          </w:p>
        </w:tc>
        <w:tc>
          <w:tcPr>
            <w:tcW w:w="1017" w:type="dxa"/>
            <w:tcBorders>
              <w:top w:val="nil"/>
              <w:left w:val="nil"/>
              <w:bottom w:val="single" w:sz="4" w:space="0" w:color="auto"/>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[Mg/rok]</w:t>
            </w:r>
          </w:p>
        </w:tc>
        <w:tc>
          <w:tcPr>
            <w:tcW w:w="1268" w:type="dxa"/>
            <w:tcBorders>
              <w:top w:val="nil"/>
              <w:left w:val="nil"/>
              <w:bottom w:val="single" w:sz="4" w:space="0" w:color="auto"/>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[Mg/rok]</w:t>
            </w:r>
          </w:p>
        </w:tc>
        <w:tc>
          <w:tcPr>
            <w:tcW w:w="1321" w:type="dxa"/>
            <w:tcBorders>
              <w:top w:val="nil"/>
              <w:left w:val="nil"/>
              <w:bottom w:val="single" w:sz="4" w:space="0" w:color="auto"/>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[Mg/rok]</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budynki użyteczności publicznej</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5 680,95</w:t>
            </w:r>
          </w:p>
        </w:tc>
        <w:tc>
          <w:tcPr>
            <w:tcW w:w="1071"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1 966,67</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1 966,67</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budynki mieszkalne</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30 555,47</w:t>
            </w:r>
          </w:p>
        </w:tc>
        <w:tc>
          <w:tcPr>
            <w:tcW w:w="1071"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11 326,83</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11 326,83</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handel i usługi</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903,31</w:t>
            </w:r>
          </w:p>
        </w:tc>
        <w:tc>
          <w:tcPr>
            <w:tcW w:w="1071"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327,43</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327,43</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oświetlenie</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115,20</w:t>
            </w:r>
          </w:p>
        </w:tc>
        <w:tc>
          <w:tcPr>
            <w:tcW w:w="1071"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93,54</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93,54</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transport</w:t>
            </w:r>
          </w:p>
        </w:tc>
        <w:tc>
          <w:tcPr>
            <w:tcW w:w="1662" w:type="dxa"/>
            <w:tcBorders>
              <w:top w:val="nil"/>
              <w:left w:val="nil"/>
              <w:bottom w:val="single" w:sz="4" w:space="0" w:color="auto"/>
              <w:right w:val="single" w:sz="4" w:space="0" w:color="auto"/>
            </w:tcBorders>
            <w:noWrap/>
            <w:vAlign w:val="bottom"/>
          </w:tcPr>
          <w:p w:rsidR="00FB2534" w:rsidRDefault="00FB2534">
            <w:pPr>
              <w:jc w:val="right"/>
              <w:rPr>
                <w:rFonts w:ascii="Calibri" w:hAnsi="Calibri"/>
                <w:color w:val="000000"/>
                <w:sz w:val="18"/>
                <w:szCs w:val="18"/>
              </w:rPr>
            </w:pPr>
            <w:r>
              <w:rPr>
                <w:rFonts w:ascii="Calibri" w:hAnsi="Calibri"/>
                <w:color w:val="000000"/>
                <w:sz w:val="18"/>
                <w:szCs w:val="18"/>
              </w:rPr>
              <w:t>59 417,19</w:t>
            </w:r>
          </w:p>
        </w:tc>
        <w:tc>
          <w:tcPr>
            <w:tcW w:w="1071" w:type="dxa"/>
            <w:tcBorders>
              <w:top w:val="nil"/>
              <w:left w:val="nil"/>
              <w:bottom w:val="single" w:sz="4" w:space="0" w:color="auto"/>
              <w:right w:val="single" w:sz="4" w:space="0" w:color="auto"/>
            </w:tcBorders>
            <w:shd w:val="clear" w:color="000000" w:fill="D8D8D8"/>
            <w:noWrap/>
            <w:vAlign w:val="bottom"/>
          </w:tcPr>
          <w:p w:rsidR="00FB2534" w:rsidRDefault="00FB2534">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000000" w:fill="D8D8D8"/>
            <w:noWrap/>
            <w:vAlign w:val="bottom"/>
          </w:tcPr>
          <w:p w:rsidR="00FB2534" w:rsidRDefault="00FB2534">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bottom"/>
          </w:tcPr>
          <w:p w:rsidR="00FB2534" w:rsidRDefault="00FB2534">
            <w:pPr>
              <w:jc w:val="right"/>
              <w:rPr>
                <w:rFonts w:ascii="Calibri" w:hAnsi="Calibri"/>
                <w:color w:val="000000"/>
                <w:sz w:val="18"/>
                <w:szCs w:val="18"/>
              </w:rPr>
            </w:pPr>
            <w:r>
              <w:rPr>
                <w:rFonts w:ascii="Calibri" w:hAnsi="Calibri"/>
                <w:color w:val="000000"/>
                <w:sz w:val="18"/>
                <w:szCs w:val="18"/>
              </w:rPr>
              <w:t>15 454,85</w:t>
            </w:r>
          </w:p>
        </w:tc>
        <w:tc>
          <w:tcPr>
            <w:tcW w:w="1321"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15 454,85</w:t>
            </w:r>
          </w:p>
        </w:tc>
      </w:tr>
      <w:tr w:rsidR="00FB2534" w:rsidTr="00AC1CBB">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przemysł</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071"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r>
      <w:tr w:rsidR="00FB2534" w:rsidTr="00AC1CBB">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energetyka</w:t>
            </w:r>
          </w:p>
        </w:tc>
        <w:tc>
          <w:tcPr>
            <w:tcW w:w="166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071"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17"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rolnictwo</w:t>
            </w:r>
          </w:p>
        </w:tc>
        <w:tc>
          <w:tcPr>
            <w:tcW w:w="1662"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7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105,58</w:t>
            </w:r>
          </w:p>
        </w:tc>
        <w:tc>
          <w:tcPr>
            <w:tcW w:w="101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1,75</w:t>
            </w:r>
          </w:p>
        </w:tc>
        <w:tc>
          <w:tcPr>
            <w:tcW w:w="1268"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2 759,42</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lasy</w:t>
            </w:r>
          </w:p>
        </w:tc>
        <w:tc>
          <w:tcPr>
            <w:tcW w:w="1662"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7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3,26</w:t>
            </w:r>
          </w:p>
        </w:tc>
        <w:tc>
          <w:tcPr>
            <w:tcW w:w="101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0,17</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-516,05</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-396,36</w:t>
            </w:r>
          </w:p>
        </w:tc>
      </w:tr>
      <w:tr w:rsidR="00FB2534" w:rsidTr="00AC1CBB">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gospodarka odpadami</w:t>
            </w:r>
          </w:p>
        </w:tc>
        <w:tc>
          <w:tcPr>
            <w:tcW w:w="1662"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07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48,36</w:t>
            </w:r>
          </w:p>
        </w:tc>
        <w:tc>
          <w:tcPr>
            <w:tcW w:w="101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26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39,57</w:t>
            </w:r>
          </w:p>
        </w:tc>
        <w:tc>
          <w:tcPr>
            <w:tcW w:w="1321"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1 055,14</w:t>
            </w:r>
          </w:p>
        </w:tc>
      </w:tr>
      <w:tr w:rsidR="00FB2534" w:rsidTr="00556986">
        <w:trPr>
          <w:cantSplit/>
          <w:trHeight w:val="227"/>
          <w:jc w:val="center"/>
        </w:trPr>
        <w:tc>
          <w:tcPr>
            <w:tcW w:w="2467" w:type="dxa"/>
            <w:tcBorders>
              <w:top w:val="nil"/>
              <w:left w:val="single" w:sz="4" w:space="0" w:color="auto"/>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RAZEM</w:t>
            </w:r>
          </w:p>
        </w:tc>
        <w:tc>
          <w:tcPr>
            <w:tcW w:w="1662"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96 672,12</w:t>
            </w:r>
          </w:p>
        </w:tc>
        <w:tc>
          <w:tcPr>
            <w:tcW w:w="1071"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157,20</w:t>
            </w:r>
          </w:p>
        </w:tc>
        <w:tc>
          <w:tcPr>
            <w:tcW w:w="1017"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1,91</w:t>
            </w:r>
          </w:p>
        </w:tc>
        <w:tc>
          <w:tcPr>
            <w:tcW w:w="1268"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28 692,83</w:t>
            </w:r>
          </w:p>
        </w:tc>
        <w:tc>
          <w:tcPr>
            <w:tcW w:w="1321"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32 587,51</w:t>
            </w:r>
          </w:p>
        </w:tc>
      </w:tr>
    </w:tbl>
    <w:p w:rsidR="00FB2534" w:rsidRDefault="00FB2534" w:rsidP="007A7B69">
      <w:pPr>
        <w:pStyle w:val="GOMnormal"/>
      </w:pPr>
      <w:r>
        <w:t>Strukturę udziału głównych sektorów w zużyciu energii finalnej oraz w wielkości emisji ekwiwalentnego dwutlenku węgla zaprezentowano na poniższych rysunkach. Pod uwagę brano następujące sektory:</w:t>
      </w:r>
    </w:p>
    <w:p w:rsidR="00FB2534" w:rsidRDefault="00FB2534" w:rsidP="007A7B69">
      <w:pPr>
        <w:pStyle w:val="GOMlista"/>
        <w:ind w:hanging="284"/>
      </w:pPr>
      <w:r>
        <w:t>budynki użyteczności publicznej,</w:t>
      </w:r>
    </w:p>
    <w:p w:rsidR="00FB2534" w:rsidRDefault="00FB2534" w:rsidP="007A7B69">
      <w:pPr>
        <w:pStyle w:val="GOMlista"/>
        <w:ind w:hanging="284"/>
      </w:pPr>
      <w:r>
        <w:t>budynki mieszkalne,</w:t>
      </w:r>
    </w:p>
    <w:p w:rsidR="00FB2534" w:rsidRDefault="00FB2534" w:rsidP="007A7B69">
      <w:pPr>
        <w:pStyle w:val="GOMlista"/>
        <w:ind w:hanging="284"/>
      </w:pPr>
      <w:r>
        <w:t>handel i usługi,</w:t>
      </w:r>
    </w:p>
    <w:p w:rsidR="00FB2534" w:rsidRDefault="00FB2534" w:rsidP="007A7B69">
      <w:pPr>
        <w:pStyle w:val="GOMlista"/>
        <w:ind w:hanging="284"/>
      </w:pPr>
      <w:r>
        <w:t>oświetlenie uliczne,</w:t>
      </w:r>
    </w:p>
    <w:p w:rsidR="00FB2534" w:rsidRDefault="00FB2534" w:rsidP="007A7B69">
      <w:pPr>
        <w:pStyle w:val="GOMlista"/>
        <w:ind w:hanging="284"/>
      </w:pPr>
      <w:r>
        <w:t>transport samochodowy,</w:t>
      </w:r>
    </w:p>
    <w:p w:rsidR="00FB2534" w:rsidRDefault="00FB2534" w:rsidP="007A7B69">
      <w:pPr>
        <w:pStyle w:val="GOMlista"/>
        <w:ind w:hanging="284"/>
      </w:pPr>
      <w:r>
        <w:t>przemysł,</w:t>
      </w:r>
    </w:p>
    <w:p w:rsidR="00FB2534" w:rsidRDefault="00FB2534" w:rsidP="007A7B69">
      <w:pPr>
        <w:pStyle w:val="GOMlista"/>
        <w:ind w:hanging="284"/>
      </w:pPr>
      <w:r>
        <w:t>energetykę (z wyłączeniem obiektów objętych handlem emisjami).</w:t>
      </w:r>
    </w:p>
    <w:p w:rsidR="00FB2534" w:rsidRDefault="00FB2534" w:rsidP="007A7B69">
      <w:pPr>
        <w:pStyle w:val="GOMnormal"/>
      </w:pPr>
      <w:r>
        <w:t>Pozostałe sektory fakultatywne, czyli rolnictwo, lasy oraz gospodarkę odpadami pokazano oddzielnie.</w:t>
      </w:r>
    </w:p>
    <w:p w:rsidR="00FB2534" w:rsidRDefault="00FB2534" w:rsidP="007A7B69">
      <w:pPr>
        <w:pStyle w:val="GOMnormal"/>
      </w:pPr>
      <w:r w:rsidRPr="006C2279">
        <w:t>Największy udział w zużyciu energii finalnej na terenie gminy ma transport samochodowy, którego udział przekracza 61%. Kolejnymi istotnymi źródłami są budynki mieszkalne (blisko 32%), oraz budynki użyteczności publicznej (ok. 6%). Struktura emisji ekwiwalentnego dwutlenku węgla przedstawia się podobnie pod względem dominacji poszczególnych sektorów, ale zmieniają się proporcje. Maleje udział transportu do ok. 53%, a rośnie udział budynków mieszkalnych (ok. 39%) oraz budynków użyteczności publicznej (ok. 7%). Strukturę udziału poszczególnych sektorów w zużyciu energii finalnej oraz w wielkości emisji dwutlenku węgla zobrazowano na poniższych rysunkach</w:t>
      </w:r>
    </w:p>
    <w:p w:rsidR="00FB2534" w:rsidRDefault="00FB2534" w:rsidP="007A7B69">
      <w:pPr>
        <w:pStyle w:val="GOMnormal"/>
        <w:keepNext/>
      </w:pPr>
      <w:r>
        <w:rPr>
          <w:noProof/>
        </w:rPr>
        <w:pict>
          <v:shape id="Wykres 6" o:spid="_x0000_i1034" type="#_x0000_t75" style="width:433.5pt;height:280.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">
            <v:imagedata r:id="rId23" o:title="" cropbottom="-35f" cropright="-23f"/>
            <o:lock v:ext="edit" aspectratio="f"/>
          </v:shape>
        </w:pict>
      </w:r>
    </w:p>
    <w:p w:rsidR="00FB2534" w:rsidRDefault="00FB2534" w:rsidP="007A7B69">
      <w:pPr>
        <w:pStyle w:val="GOMpodpistab"/>
      </w:pPr>
      <w:bookmarkStart w:id="146" w:name="_Toc416981931"/>
      <w:bookmarkStart w:id="147" w:name="_Toc422133277"/>
      <w:r>
        <w:t xml:space="preserve">Rysunek </w:t>
      </w:r>
      <w:r>
        <w:fldChar w:fldCharType="begin"/>
      </w:r>
      <w:r>
        <w:instrText xml:space="preserve"> SEQ Rysunek \* ARABIC </w:instrText>
      </w:r>
      <w:r>
        <w:fldChar w:fldCharType="separate"/>
      </w:r>
      <w:r>
        <w:rPr>
          <w:noProof/>
        </w:rPr>
        <w:t>4</w:t>
      </w:r>
      <w:r>
        <w:fldChar w:fldCharType="end"/>
      </w:r>
      <w:r>
        <w:t>. Struktura zużycia energii finalnej w Gminie Wiejskiej Malbork</w:t>
      </w:r>
      <w:bookmarkEnd w:id="146"/>
      <w:r>
        <w:rPr>
          <w:rStyle w:val="FootnoteReference"/>
        </w:rPr>
        <w:footnoteReference w:id="15"/>
      </w:r>
      <w:bookmarkEnd w:id="147"/>
    </w:p>
    <w:p w:rsidR="00FB2534" w:rsidRDefault="00FB2534" w:rsidP="007A7B69">
      <w:pPr>
        <w:pStyle w:val="GOMnormal"/>
      </w:pPr>
    </w:p>
    <w:p w:rsidR="00FB2534" w:rsidRDefault="00FB2534" w:rsidP="007A7B69">
      <w:pPr>
        <w:pStyle w:val="GOMnormal"/>
        <w:keepNext/>
      </w:pPr>
      <w:r>
        <w:rPr>
          <w:noProof/>
        </w:rPr>
        <w:pict>
          <v:shape id="Wykres 8" o:spid="_x0000_i1035" type="#_x0000_t75" style="width:439.5pt;height:291.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">
            <v:imagedata r:id="rId24" o:title=""/>
            <o:lock v:ext="edit" aspectratio="f"/>
          </v:shape>
        </w:pict>
      </w:r>
    </w:p>
    <w:p w:rsidR="00FB2534" w:rsidRDefault="00FB2534" w:rsidP="007A7B69">
      <w:pPr>
        <w:pStyle w:val="GOMpodpistab"/>
      </w:pPr>
      <w:bookmarkStart w:id="148" w:name="_Toc416981932"/>
      <w:bookmarkStart w:id="149" w:name="_Toc422133278"/>
      <w:r>
        <w:t xml:space="preserve">Rysunek </w:t>
      </w:r>
      <w:r>
        <w:fldChar w:fldCharType="begin"/>
      </w:r>
      <w:r>
        <w:instrText xml:space="preserve"> SEQ Rysunek \* ARABIC </w:instrText>
      </w:r>
      <w:r>
        <w:fldChar w:fldCharType="separate"/>
      </w:r>
      <w:r>
        <w:rPr>
          <w:noProof/>
        </w:rPr>
        <w:t>5</w:t>
      </w:r>
      <w:r>
        <w:fldChar w:fldCharType="end"/>
      </w:r>
      <w:r>
        <w:t>. Struktura emisji ekwiwalentnego dwutlenku węgla w Gminie Wiejskiej Malbork</w:t>
      </w:r>
      <w:bookmarkEnd w:id="148"/>
      <w:r>
        <w:rPr>
          <w:rStyle w:val="FootnoteReference"/>
        </w:rPr>
        <w:footnoteReference w:id="16"/>
      </w:r>
      <w:bookmarkEnd w:id="149"/>
    </w:p>
    <w:p w:rsidR="00FB2534" w:rsidRDefault="00FB2534" w:rsidP="007A7B69">
      <w:pPr>
        <w:pStyle w:val="GOMnormal"/>
      </w:pPr>
      <w:r w:rsidRPr="006C2279">
        <w:t>Na kolejnym rysunku przedstawiono wielkości rocznej emisji ekwiwalentnego dwutlenku węgla z terenu Gminy Wiejskiej Malbork generowanej przez wszystkie analizowane sektory. Pokazuje on, że najistotniejsze znaczenie mają dwa sektory: transport i budynki mieszkalne, a w dalszej kolejności rolnictwo oraz budynki użyteczności publicznej. Znaczenie pozostałych sektorów w emisji CO</w:t>
      </w:r>
      <w:r w:rsidRPr="006C2279">
        <w:rPr>
          <w:vertAlign w:val="subscript"/>
        </w:rPr>
        <w:t>2</w:t>
      </w:r>
      <w:r w:rsidRPr="006C2279">
        <w:t xml:space="preserve"> jest marginalne.</w:t>
      </w:r>
    </w:p>
    <w:p w:rsidR="00FB2534" w:rsidRDefault="00FB2534" w:rsidP="007A7B69">
      <w:pPr>
        <w:pStyle w:val="GOMnormal"/>
        <w:keepNext/>
      </w:pPr>
      <w:r>
        <w:rPr>
          <w:noProof/>
        </w:rPr>
        <w:pict>
          <v:shape id="Wykres 9" o:spid="_x0000_i1036" type="#_x0000_t75" style="width:433.5pt;height:245.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">
            <v:imagedata r:id="rId25" o:title="" cropbottom="-54f"/>
            <o:lock v:ext="edit" aspectratio="f"/>
          </v:shape>
        </w:pict>
      </w:r>
    </w:p>
    <w:p w:rsidR="00FB2534" w:rsidRDefault="00FB2534" w:rsidP="007A7B69">
      <w:pPr>
        <w:pStyle w:val="GOMpodpistab"/>
      </w:pPr>
      <w:bookmarkStart w:id="150" w:name="_Toc416981933"/>
      <w:bookmarkStart w:id="151" w:name="_Toc422133279"/>
      <w:r>
        <w:t xml:space="preserve">Rysunek </w:t>
      </w:r>
      <w:r>
        <w:fldChar w:fldCharType="begin"/>
      </w:r>
      <w:r>
        <w:instrText xml:space="preserve"> SEQ Rysunek \* ARABIC </w:instrText>
      </w:r>
      <w:r>
        <w:fldChar w:fldCharType="separate"/>
      </w:r>
      <w:r>
        <w:rPr>
          <w:noProof/>
        </w:rPr>
        <w:t>6</w:t>
      </w:r>
      <w:r>
        <w:fldChar w:fldCharType="end"/>
      </w:r>
      <w:r>
        <w:t>. Wielkość emisji ekwiwalentnego dwutlenku węgla z poszczególnych sektorów w Gminie Wiejskiej Malbork</w:t>
      </w:r>
      <w:bookmarkEnd w:id="150"/>
      <w:r>
        <w:rPr>
          <w:rStyle w:val="FootnoteReference"/>
        </w:rPr>
        <w:footnoteReference w:id="17"/>
      </w:r>
      <w:bookmarkEnd w:id="151"/>
    </w:p>
    <w:p w:rsidR="00FB2534" w:rsidRDefault="00FB2534" w:rsidP="007A7B69">
      <w:pPr>
        <w:pStyle w:val="GOMnagl3"/>
      </w:pPr>
      <w:bookmarkStart w:id="152" w:name="_Toc422133342"/>
      <w:r>
        <w:t>Analiza głównych źródeł emisji CO</w:t>
      </w:r>
      <w:r w:rsidRPr="00202726">
        <w:rPr>
          <w:vertAlign w:val="subscript"/>
        </w:rPr>
        <w:t>2</w:t>
      </w:r>
      <w:bookmarkEnd w:id="152"/>
    </w:p>
    <w:p w:rsidR="00FB2534" w:rsidRDefault="00FB2534" w:rsidP="007A7B69">
      <w:pPr>
        <w:pStyle w:val="GOMwyr"/>
      </w:pPr>
      <w:r>
        <w:t>Zużycie energii elektrycznej i cieplnej w poszczególnych sektorach</w:t>
      </w:r>
    </w:p>
    <w:p w:rsidR="00FB2534" w:rsidRDefault="00FB2534" w:rsidP="007A7B69">
      <w:pPr>
        <w:pStyle w:val="GOMnormal"/>
      </w:pPr>
      <w:r>
        <w:t>Na podstawie bazy danych przygotowanej na potrzeby PGN dla GOM określono zużycie energii elektrycznej i cieplnej w poszczególnych sektorach. Dalsze zestawienia tabelaryczne ukazują zużycie energii finalnej oraz emisję CO</w:t>
      </w:r>
      <w:r w:rsidRPr="00345D84">
        <w:rPr>
          <w:vertAlign w:val="subscript"/>
        </w:rPr>
        <w:t>2eq</w:t>
      </w:r>
      <w:r>
        <w:t xml:space="preserve"> z poszczególnych sektorów w podziale na energię elektryczną i cieplną. Największe zużycie energii elektrycznej w Gminie Wiejskiej Malbork przypada na sektor budynków mieszkalnych (blisko 90%). W podobny sposób kształtuje się struktura emisji dwutlenku węgla. Sieć ciepłownicza i w związku z tym zużycie energii finalnej cieplnej z sieci nie występuje w gminie.</w:t>
      </w:r>
    </w:p>
    <w:p w:rsidR="00FB2534" w:rsidRDefault="00FB2534" w:rsidP="007A7B69">
      <w:pPr>
        <w:pStyle w:val="GOMnormal"/>
      </w:pPr>
      <w:r>
        <w:t>Zużycie energii elektrycznej w gminie w analizowanych sektorach wynosi ok. 3 354 MWh. Łączna emisja CO</w:t>
      </w:r>
      <w:r w:rsidRPr="00D03890">
        <w:rPr>
          <w:vertAlign w:val="subscript"/>
        </w:rPr>
        <w:t>2</w:t>
      </w:r>
      <w:r>
        <w:t xml:space="preserve"> w wyniku zużywania energii elektrycznej w Gminie Wiejskiej Malbork wynosi ok. 2,7 tys. Mg/rok. Mg/rok. Zestawienie zużycia energii elektrycznej w gminie w poszczególnych sektorach oraz wynikającą z tego wielkość emisji CO</w:t>
      </w:r>
      <w:r w:rsidRPr="0095508C">
        <w:rPr>
          <w:vertAlign w:val="subscript"/>
        </w:rPr>
        <w:t>2</w:t>
      </w:r>
      <w:r>
        <w:t xml:space="preserve"> zestawiono w tabelach poniżej.</w:t>
      </w:r>
    </w:p>
    <w:p w:rsidR="00FB2534" w:rsidRDefault="00FB2534" w:rsidP="007A7B69">
      <w:pPr>
        <w:pStyle w:val="GOMpodpistab"/>
      </w:pPr>
      <w:bookmarkStart w:id="153" w:name="_Toc416981915"/>
      <w:bookmarkStart w:id="154" w:name="_Toc422135102"/>
      <w:r>
        <w:t xml:space="preserve">Tabela </w:t>
      </w:r>
      <w:r>
        <w:fldChar w:fldCharType="begin"/>
      </w:r>
      <w:r>
        <w:instrText xml:space="preserve"> SEQ Tabela \* ARABIC </w:instrText>
      </w:r>
      <w:r>
        <w:fldChar w:fldCharType="separate"/>
      </w:r>
      <w:r>
        <w:rPr>
          <w:noProof/>
        </w:rPr>
        <w:t>9</w:t>
      </w:r>
      <w:r>
        <w:fldChar w:fldCharType="end"/>
      </w:r>
      <w:r>
        <w:t>. Zużycie energii finalnej (elektrycznej i cieplnej) w Gminie Wiejskiej Malbork</w:t>
      </w:r>
      <w:r w:rsidRPr="00F93431">
        <w:t xml:space="preserve"> </w:t>
      </w:r>
      <w:r>
        <w:t>w poszczególnych sektorach</w:t>
      </w:r>
      <w:bookmarkEnd w:id="153"/>
      <w:r>
        <w:rPr>
          <w:rStyle w:val="FootnoteReference"/>
        </w:rPr>
        <w:footnoteReference w:id="18"/>
      </w:r>
      <w:bookmarkEnd w:id="154"/>
    </w:p>
    <w:tbl>
      <w:tblPr>
        <w:tblW w:w="5000" w:type="pct"/>
        <w:jc w:val="center"/>
        <w:tblLayout w:type="fixed"/>
        <w:tblCellMar>
          <w:top w:w="28" w:type="dxa"/>
          <w:left w:w="68" w:type="dxa"/>
          <w:bottom w:w="28" w:type="dxa"/>
          <w:right w:w="68" w:type="dxa"/>
        </w:tblCellMar>
        <w:tblLook w:val="00A0" w:firstRow="1" w:lastRow="0" w:firstColumn="1" w:lastColumn="0" w:noHBand="0" w:noVBand="0"/>
      </w:tblPr>
      <w:tblGrid>
        <w:gridCol w:w="3712"/>
        <w:gridCol w:w="2404"/>
        <w:gridCol w:w="2689"/>
      </w:tblGrid>
      <w:tr w:rsidR="00FB2534" w:rsidRPr="00644B0C" w:rsidTr="00556986">
        <w:trPr>
          <w:cantSplit/>
          <w:trHeight w:val="227"/>
          <w:tblHeader/>
          <w:jc w:val="center"/>
        </w:trPr>
        <w:tc>
          <w:tcPr>
            <w:tcW w:w="3711"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sektor</w:t>
            </w:r>
          </w:p>
        </w:tc>
        <w:tc>
          <w:tcPr>
            <w:tcW w:w="5091" w:type="dxa"/>
            <w:gridSpan w:val="2"/>
            <w:tcBorders>
              <w:top w:val="single" w:sz="4" w:space="0" w:color="auto"/>
              <w:left w:val="nil"/>
              <w:bottom w:val="single" w:sz="4" w:space="0" w:color="auto"/>
              <w:right w:val="single" w:sz="4" w:space="0" w:color="auto"/>
            </w:tcBorders>
            <w:shd w:val="clear" w:color="000000" w:fill="BFBFBF"/>
            <w:noWrap/>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zużycie energii finalnej</w:t>
            </w:r>
            <w:r>
              <w:rPr>
                <w:rFonts w:ascii="Calibri" w:hAnsi="Calibri"/>
                <w:b/>
                <w:bCs/>
                <w:sz w:val="18"/>
                <w:szCs w:val="18"/>
              </w:rPr>
              <w:t xml:space="preserve"> [MWh]</w:t>
            </w:r>
          </w:p>
        </w:tc>
      </w:tr>
      <w:tr w:rsidR="00FB2534" w:rsidRPr="00644B0C" w:rsidTr="00556986">
        <w:trPr>
          <w:cantSplit/>
          <w:trHeight w:val="227"/>
          <w:tblHeader/>
          <w:jc w:val="center"/>
        </w:trPr>
        <w:tc>
          <w:tcPr>
            <w:tcW w:w="3711" w:type="dxa"/>
            <w:vMerge/>
            <w:tcBorders>
              <w:top w:val="single" w:sz="4" w:space="0" w:color="auto"/>
              <w:left w:val="single" w:sz="4" w:space="0" w:color="auto"/>
              <w:bottom w:val="single" w:sz="4" w:space="0" w:color="auto"/>
              <w:right w:val="single" w:sz="4" w:space="0" w:color="auto"/>
            </w:tcBorders>
            <w:vAlign w:val="center"/>
          </w:tcPr>
          <w:p w:rsidR="00FB2534" w:rsidRPr="00644B0C" w:rsidRDefault="00FB2534" w:rsidP="00556986">
            <w:pPr>
              <w:rPr>
                <w:rFonts w:ascii="Calibri" w:hAnsi="Calibri"/>
                <w:b/>
                <w:bCs/>
                <w:sz w:val="18"/>
                <w:szCs w:val="18"/>
              </w:rPr>
            </w:pPr>
          </w:p>
        </w:tc>
        <w:tc>
          <w:tcPr>
            <w:tcW w:w="2403"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elektrycznej</w:t>
            </w:r>
          </w:p>
        </w:tc>
        <w:tc>
          <w:tcPr>
            <w:tcW w:w="2688"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cieplnej z sieci cieplnej</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budynki użyteczności publicznej</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161,0</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budynki mieszkalne</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3 012,9</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handel i usługi</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65,0</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AC1CBB">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oświetlenie</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115,2</w:t>
            </w:r>
          </w:p>
        </w:tc>
        <w:tc>
          <w:tcPr>
            <w:tcW w:w="2688"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przemysł</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energetyka</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3711"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jc w:val="right"/>
              <w:rPr>
                <w:rFonts w:ascii="Calibri" w:hAnsi="Calibri"/>
                <w:b/>
                <w:bCs/>
                <w:color w:val="000000"/>
                <w:sz w:val="18"/>
                <w:szCs w:val="18"/>
              </w:rPr>
            </w:pPr>
            <w:r w:rsidRPr="00644B0C">
              <w:rPr>
                <w:rFonts w:ascii="Calibri" w:hAnsi="Calibri"/>
                <w:b/>
                <w:bCs/>
                <w:color w:val="000000"/>
                <w:sz w:val="18"/>
                <w:szCs w:val="18"/>
              </w:rPr>
              <w:t>RAZEM</w:t>
            </w:r>
          </w:p>
        </w:tc>
        <w:tc>
          <w:tcPr>
            <w:tcW w:w="240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3 354,1</w:t>
            </w:r>
          </w:p>
        </w:tc>
        <w:tc>
          <w:tcPr>
            <w:tcW w:w="268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0,0</w:t>
            </w:r>
          </w:p>
        </w:tc>
      </w:tr>
    </w:tbl>
    <w:p w:rsidR="00FB2534" w:rsidRDefault="00FB2534" w:rsidP="007A7B69">
      <w:pPr>
        <w:pStyle w:val="GOMpodpistab"/>
      </w:pPr>
      <w:bookmarkStart w:id="155" w:name="_Toc416981916"/>
      <w:bookmarkStart w:id="156" w:name="_Toc422135103"/>
      <w:r>
        <w:t xml:space="preserve">Tabela </w:t>
      </w:r>
      <w:r>
        <w:fldChar w:fldCharType="begin"/>
      </w:r>
      <w:r>
        <w:instrText xml:space="preserve"> SEQ Tabela \* ARABIC </w:instrText>
      </w:r>
      <w:r>
        <w:fldChar w:fldCharType="separate"/>
      </w:r>
      <w:r>
        <w:rPr>
          <w:noProof/>
        </w:rPr>
        <w:t>10</w:t>
      </w:r>
      <w:r>
        <w:fldChar w:fldCharType="end"/>
      </w:r>
      <w:r>
        <w:t>. Emisja ekwiwalentnego dwutlenku węgla</w:t>
      </w:r>
      <w:r w:rsidRPr="00C37780">
        <w:t xml:space="preserve"> </w:t>
      </w:r>
      <w:r>
        <w:t xml:space="preserve">wynikająca ze zużycia energii elektrycznej i cieplnej </w:t>
      </w:r>
      <w:r w:rsidRPr="00C37780">
        <w:t xml:space="preserve">w </w:t>
      </w:r>
      <w:r>
        <w:t>Gminie Wiejskiej Malbork</w:t>
      </w:r>
      <w:r w:rsidRPr="00F93431">
        <w:t xml:space="preserve"> </w:t>
      </w:r>
      <w:r>
        <w:t>w poszczególnych sektorach</w:t>
      </w:r>
      <w:bookmarkEnd w:id="155"/>
      <w:r>
        <w:rPr>
          <w:rStyle w:val="FootnoteReference"/>
        </w:rPr>
        <w:footnoteReference w:id="19"/>
      </w:r>
      <w:bookmarkEnd w:id="156"/>
    </w:p>
    <w:tbl>
      <w:tblPr>
        <w:tblW w:w="5000" w:type="pct"/>
        <w:jc w:val="center"/>
        <w:tblCellMar>
          <w:top w:w="28" w:type="dxa"/>
          <w:left w:w="68" w:type="dxa"/>
          <w:bottom w:w="28" w:type="dxa"/>
          <w:right w:w="68" w:type="dxa"/>
        </w:tblCellMar>
        <w:tblLook w:val="00A0" w:firstRow="1" w:lastRow="0" w:firstColumn="1" w:lastColumn="0" w:noHBand="0" w:noVBand="0"/>
      </w:tblPr>
      <w:tblGrid>
        <w:gridCol w:w="3778"/>
        <w:gridCol w:w="2786"/>
        <w:gridCol w:w="2241"/>
      </w:tblGrid>
      <w:tr w:rsidR="00FB2534" w:rsidRPr="004C17C7" w:rsidTr="00556986">
        <w:trPr>
          <w:cantSplit/>
          <w:trHeight w:val="227"/>
          <w:tblHeader/>
          <w:jc w:val="center"/>
        </w:trPr>
        <w:tc>
          <w:tcPr>
            <w:tcW w:w="3777"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sektor</w:t>
            </w:r>
          </w:p>
        </w:tc>
        <w:tc>
          <w:tcPr>
            <w:tcW w:w="5025" w:type="dxa"/>
            <w:gridSpan w:val="2"/>
            <w:tcBorders>
              <w:top w:val="single" w:sz="4" w:space="0" w:color="auto"/>
              <w:left w:val="nil"/>
              <w:bottom w:val="single" w:sz="4" w:space="0" w:color="auto"/>
              <w:right w:val="single" w:sz="4" w:space="0" w:color="auto"/>
            </w:tcBorders>
            <w:shd w:val="clear" w:color="000000" w:fill="BFBFBF"/>
            <w:noWrap/>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emisja CO</w:t>
            </w:r>
            <w:r w:rsidRPr="004C17C7">
              <w:rPr>
                <w:rFonts w:ascii="Calibri" w:hAnsi="Calibri"/>
                <w:b/>
                <w:bCs/>
                <w:sz w:val="18"/>
                <w:szCs w:val="18"/>
                <w:vertAlign w:val="subscript"/>
              </w:rPr>
              <w:t>2eq</w:t>
            </w:r>
            <w:r>
              <w:rPr>
                <w:rFonts w:ascii="Calibri" w:hAnsi="Calibri"/>
                <w:b/>
                <w:bCs/>
                <w:sz w:val="18"/>
                <w:szCs w:val="18"/>
              </w:rPr>
              <w:t xml:space="preserve"> [Mg/rok]</w:t>
            </w:r>
          </w:p>
        </w:tc>
      </w:tr>
      <w:tr w:rsidR="00FB2534" w:rsidRPr="004C17C7" w:rsidTr="00556986">
        <w:trPr>
          <w:cantSplit/>
          <w:trHeight w:val="227"/>
          <w:tblHeader/>
          <w:jc w:val="center"/>
        </w:trPr>
        <w:tc>
          <w:tcPr>
            <w:tcW w:w="3777" w:type="dxa"/>
            <w:vMerge/>
            <w:tcBorders>
              <w:top w:val="single" w:sz="4" w:space="0" w:color="auto"/>
              <w:left w:val="single" w:sz="4" w:space="0" w:color="auto"/>
              <w:bottom w:val="single" w:sz="4" w:space="0" w:color="auto"/>
              <w:right w:val="single" w:sz="4" w:space="0" w:color="auto"/>
            </w:tcBorders>
            <w:vAlign w:val="center"/>
          </w:tcPr>
          <w:p w:rsidR="00FB2534" w:rsidRPr="004C17C7" w:rsidRDefault="00FB2534" w:rsidP="00556986">
            <w:pPr>
              <w:rPr>
                <w:rFonts w:ascii="Calibri" w:hAnsi="Calibri"/>
                <w:b/>
                <w:bCs/>
                <w:sz w:val="18"/>
                <w:szCs w:val="18"/>
              </w:rPr>
            </w:pPr>
          </w:p>
        </w:tc>
        <w:tc>
          <w:tcPr>
            <w:tcW w:w="2785"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 energii elektrycznej</w:t>
            </w:r>
          </w:p>
        </w:tc>
        <w:tc>
          <w:tcPr>
            <w:tcW w:w="2240"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cieplnej z sieci cieplnej</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budynki użyteczności publicznej</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130,7</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budynki mieszkalne</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2 446,5</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handel i usługi</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52,8</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oświetlenie</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93,5</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przemysł</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energetyka</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3777" w:type="dxa"/>
            <w:tcBorders>
              <w:top w:val="nil"/>
              <w:left w:val="single" w:sz="4" w:space="0" w:color="auto"/>
              <w:bottom w:val="single" w:sz="4" w:space="0" w:color="auto"/>
              <w:right w:val="single" w:sz="4" w:space="0" w:color="auto"/>
            </w:tcBorders>
            <w:noWrap/>
            <w:vAlign w:val="bottom"/>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RAZEM</w:t>
            </w:r>
          </w:p>
        </w:tc>
        <w:tc>
          <w:tcPr>
            <w:tcW w:w="278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2 723,5</w:t>
            </w:r>
          </w:p>
        </w:tc>
        <w:tc>
          <w:tcPr>
            <w:tcW w:w="224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0,0</w:t>
            </w:r>
          </w:p>
        </w:tc>
      </w:tr>
    </w:tbl>
    <w:p w:rsidR="00FB2534" w:rsidRDefault="00FB2534" w:rsidP="007A7B69">
      <w:pPr>
        <w:pStyle w:val="GOMwyr"/>
      </w:pPr>
      <w:r>
        <w:t>Zużycie paliw w poszczególnych sektorach w przeliczeniu na energię finalną</w:t>
      </w:r>
    </w:p>
    <w:p w:rsidR="00FB2534" w:rsidRDefault="00FB2534" w:rsidP="007A7B69">
      <w:pPr>
        <w:pStyle w:val="GOMnormal"/>
      </w:pPr>
      <w:r>
        <w:t>Prowadzona zgodnie z opisaną wcześniej metodyką inwentaryzacja oraz przygotowana na tej podstawie baza danych pozwoliła na określenie zużycia paliw na terenie gminy. Zgodnie z zasadami przygotowania planów gospodarki niskoemisyjnej zużycie paliw przedstawione zostało w postaci energii finalnej zawartej w paliwie. Przedstawione poniżej zestawienia tabelaryczne ukazują zużycie paliw w przeliczeniu na energię finalną oraz emisję CO</w:t>
      </w:r>
      <w:r w:rsidRPr="00345D84">
        <w:rPr>
          <w:vertAlign w:val="subscript"/>
        </w:rPr>
        <w:t>2eq</w:t>
      </w:r>
      <w:r>
        <w:t xml:space="preserve"> z analizowanych sektorów na terenie Gminy Wiejskiej Malbork.</w:t>
      </w:r>
    </w:p>
    <w:p w:rsidR="00FB2534" w:rsidRDefault="00FB2534" w:rsidP="007A7B69">
      <w:pPr>
        <w:pStyle w:val="GOMpodpistab"/>
      </w:pPr>
      <w:bookmarkStart w:id="157" w:name="_Toc416981917"/>
      <w:bookmarkStart w:id="158" w:name="_Toc422135104"/>
      <w:r>
        <w:t xml:space="preserve">Tabela </w:t>
      </w:r>
      <w:r>
        <w:fldChar w:fldCharType="begin"/>
      </w:r>
      <w:r>
        <w:instrText xml:space="preserve"> SEQ Tabela \* ARABIC </w:instrText>
      </w:r>
      <w:r>
        <w:fldChar w:fldCharType="separate"/>
      </w:r>
      <w:r>
        <w:rPr>
          <w:noProof/>
        </w:rPr>
        <w:t>11</w:t>
      </w:r>
      <w:r>
        <w:fldChar w:fldCharType="end"/>
      </w:r>
      <w:r>
        <w:t>. Zużycie paliw w przeliczeniu na energię finalną w Gminie Wiejskiej Malbork</w:t>
      </w:r>
      <w:r w:rsidRPr="00F93431">
        <w:t xml:space="preserve"> </w:t>
      </w:r>
      <w:r>
        <w:t>w poszczególnych sektorach</w:t>
      </w:r>
      <w:bookmarkEnd w:id="157"/>
      <w:r>
        <w:rPr>
          <w:rStyle w:val="FootnoteReference"/>
        </w:rPr>
        <w:footnoteReference w:id="20"/>
      </w:r>
      <w:bookmarkEnd w:id="158"/>
    </w:p>
    <w:tbl>
      <w:tblPr>
        <w:tblW w:w="5000" w:type="pct"/>
        <w:jc w:val="center"/>
        <w:tblLayout w:type="fixed"/>
        <w:tblCellMar>
          <w:top w:w="28" w:type="dxa"/>
          <w:left w:w="68" w:type="dxa"/>
          <w:bottom w:w="28" w:type="dxa"/>
          <w:right w:w="68" w:type="dxa"/>
        </w:tblCellMar>
        <w:tblLook w:val="00A0" w:firstRow="1" w:lastRow="0" w:firstColumn="1" w:lastColumn="0" w:noHBand="0" w:noVBand="0"/>
      </w:tblPr>
      <w:tblGrid>
        <w:gridCol w:w="2100"/>
        <w:gridCol w:w="1328"/>
        <w:gridCol w:w="1324"/>
        <w:gridCol w:w="1574"/>
        <w:gridCol w:w="1124"/>
        <w:gridCol w:w="1355"/>
      </w:tblGrid>
      <w:tr w:rsidR="00FB2534" w:rsidRPr="00644B0C" w:rsidTr="00556986">
        <w:trPr>
          <w:cantSplit/>
          <w:trHeight w:val="227"/>
          <w:tblHeader/>
          <w:jc w:val="center"/>
        </w:trPr>
        <w:tc>
          <w:tcPr>
            <w:tcW w:w="2098"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sektor</w:t>
            </w:r>
          </w:p>
        </w:tc>
        <w:tc>
          <w:tcPr>
            <w:tcW w:w="6704" w:type="dxa"/>
            <w:gridSpan w:val="5"/>
            <w:tcBorders>
              <w:top w:val="single" w:sz="4" w:space="0" w:color="auto"/>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zużycie energii finalnej</w:t>
            </w:r>
            <w:r>
              <w:rPr>
                <w:rFonts w:ascii="Calibri" w:hAnsi="Calibri"/>
                <w:b/>
                <w:bCs/>
                <w:sz w:val="18"/>
                <w:szCs w:val="18"/>
              </w:rPr>
              <w:t xml:space="preserve"> [MWh]</w:t>
            </w:r>
          </w:p>
        </w:tc>
      </w:tr>
      <w:tr w:rsidR="00FB2534" w:rsidRPr="00644B0C" w:rsidTr="00556986">
        <w:trPr>
          <w:cantSplit/>
          <w:trHeight w:val="227"/>
          <w:tblHeader/>
          <w:jc w:val="center"/>
        </w:trPr>
        <w:tc>
          <w:tcPr>
            <w:tcW w:w="2098" w:type="dxa"/>
            <w:vMerge/>
            <w:tcBorders>
              <w:top w:val="single" w:sz="4" w:space="0" w:color="auto"/>
              <w:left w:val="single" w:sz="4" w:space="0" w:color="auto"/>
              <w:bottom w:val="single" w:sz="4" w:space="0" w:color="auto"/>
              <w:right w:val="single" w:sz="4" w:space="0" w:color="auto"/>
            </w:tcBorders>
            <w:vAlign w:val="center"/>
          </w:tcPr>
          <w:p w:rsidR="00FB2534" w:rsidRPr="00644B0C" w:rsidRDefault="00FB2534" w:rsidP="00556986">
            <w:pPr>
              <w:rPr>
                <w:rFonts w:ascii="Calibri" w:hAnsi="Calibri"/>
                <w:b/>
                <w:bCs/>
                <w:sz w:val="18"/>
                <w:szCs w:val="18"/>
              </w:rPr>
            </w:pPr>
          </w:p>
        </w:tc>
        <w:tc>
          <w:tcPr>
            <w:tcW w:w="1328"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ze spalania gazu ziemnego</w:t>
            </w:r>
          </w:p>
        </w:tc>
        <w:tc>
          <w:tcPr>
            <w:tcW w:w="1324"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ze spalania gazu płynnego</w:t>
            </w:r>
          </w:p>
        </w:tc>
        <w:tc>
          <w:tcPr>
            <w:tcW w:w="1573"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 ogrzewania olejem opałowym</w:t>
            </w:r>
          </w:p>
        </w:tc>
        <w:tc>
          <w:tcPr>
            <w:tcW w:w="1124"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 ogrzewania drewnem</w:t>
            </w:r>
          </w:p>
        </w:tc>
        <w:tc>
          <w:tcPr>
            <w:tcW w:w="1355" w:type="dxa"/>
            <w:tcBorders>
              <w:top w:val="nil"/>
              <w:left w:val="nil"/>
              <w:bottom w:val="single" w:sz="4" w:space="0" w:color="auto"/>
              <w:right w:val="single" w:sz="4" w:space="0" w:color="auto"/>
            </w:tcBorders>
            <w:shd w:val="clear" w:color="000000" w:fill="BFBFBF"/>
            <w:vAlign w:val="center"/>
          </w:tcPr>
          <w:p w:rsidR="00FB2534" w:rsidRPr="00644B0C" w:rsidRDefault="00FB2534" w:rsidP="00556986">
            <w:pPr>
              <w:jc w:val="center"/>
              <w:rPr>
                <w:rFonts w:ascii="Calibri" w:hAnsi="Calibri"/>
                <w:b/>
                <w:bCs/>
                <w:sz w:val="18"/>
                <w:szCs w:val="18"/>
              </w:rPr>
            </w:pPr>
            <w:r w:rsidRPr="00644B0C">
              <w:rPr>
                <w:rFonts w:ascii="Calibri" w:hAnsi="Calibri"/>
                <w:b/>
                <w:bCs/>
                <w:sz w:val="18"/>
                <w:szCs w:val="18"/>
              </w:rPr>
              <w:t>z ogrzewania paliwem stałym</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budynki użyteczności publicznej</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3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57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1 104,0</w:t>
            </w:r>
          </w:p>
        </w:tc>
        <w:tc>
          <w:tcPr>
            <w:tcW w:w="11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4 416,0</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budynki mieszkalne</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1 802,8</w:t>
            </w:r>
          </w:p>
        </w:tc>
        <w:tc>
          <w:tcPr>
            <w:tcW w:w="13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43,6</w:t>
            </w:r>
          </w:p>
        </w:tc>
        <w:tc>
          <w:tcPr>
            <w:tcW w:w="157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284,3</w:t>
            </w:r>
          </w:p>
        </w:tc>
        <w:tc>
          <w:tcPr>
            <w:tcW w:w="11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2 529,8</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22 882,2</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handel i usługi</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27,9</w:t>
            </w:r>
          </w:p>
        </w:tc>
        <w:tc>
          <w:tcPr>
            <w:tcW w:w="13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57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9,0</w:t>
            </w:r>
          </w:p>
        </w:tc>
        <w:tc>
          <w:tcPr>
            <w:tcW w:w="11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74,7</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726,8</w:t>
            </w:r>
          </w:p>
        </w:tc>
      </w:tr>
      <w:tr w:rsidR="00FB2534" w:rsidRPr="00644B0C" w:rsidTr="00AC1CBB">
        <w:trPr>
          <w:cantSplit/>
          <w:trHeight w:val="227"/>
          <w:jc w:val="center"/>
        </w:trPr>
        <w:tc>
          <w:tcPr>
            <w:tcW w:w="2098" w:type="dxa"/>
            <w:tcBorders>
              <w:top w:val="nil"/>
              <w:left w:val="single" w:sz="4" w:space="0" w:color="auto"/>
              <w:bottom w:val="single" w:sz="4" w:space="0" w:color="auto"/>
              <w:right w:val="single" w:sz="4" w:space="0" w:color="auto"/>
            </w:tcBorders>
            <w:shd w:val="clear" w:color="auto" w:fill="D9D9D9"/>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oświetlenie</w:t>
            </w:r>
          </w:p>
        </w:tc>
        <w:tc>
          <w:tcPr>
            <w:tcW w:w="1328"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324"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573"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124"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355" w:type="dxa"/>
            <w:tcBorders>
              <w:top w:val="nil"/>
              <w:left w:val="nil"/>
              <w:bottom w:val="single" w:sz="4" w:space="0" w:color="auto"/>
              <w:right w:val="single" w:sz="4" w:space="0" w:color="auto"/>
            </w:tcBorders>
            <w:shd w:val="clear" w:color="auto" w:fill="D9D9D9"/>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przemysł</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324" w:type="dxa"/>
            <w:tcBorders>
              <w:top w:val="nil"/>
              <w:left w:val="nil"/>
              <w:bottom w:val="nil"/>
              <w:right w:val="nil"/>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573" w:type="dxa"/>
            <w:tcBorders>
              <w:top w:val="nil"/>
              <w:left w:val="single" w:sz="4" w:space="0" w:color="auto"/>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1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rPr>
                <w:rFonts w:ascii="Calibri" w:hAnsi="Calibri"/>
                <w:color w:val="000000"/>
                <w:sz w:val="18"/>
                <w:szCs w:val="18"/>
              </w:rPr>
            </w:pPr>
            <w:r w:rsidRPr="00644B0C">
              <w:rPr>
                <w:rFonts w:ascii="Calibri" w:hAnsi="Calibri"/>
                <w:color w:val="000000"/>
                <w:sz w:val="18"/>
                <w:szCs w:val="18"/>
              </w:rPr>
              <w:t>energetyka</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324" w:type="dxa"/>
            <w:tcBorders>
              <w:top w:val="single" w:sz="4" w:space="0" w:color="auto"/>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57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124"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644B0C" w:rsidTr="00556986">
        <w:trPr>
          <w:cantSplit/>
          <w:trHeight w:val="227"/>
          <w:jc w:val="center"/>
        </w:trPr>
        <w:tc>
          <w:tcPr>
            <w:tcW w:w="2098" w:type="dxa"/>
            <w:tcBorders>
              <w:top w:val="nil"/>
              <w:left w:val="single" w:sz="4" w:space="0" w:color="auto"/>
              <w:bottom w:val="single" w:sz="4" w:space="0" w:color="auto"/>
              <w:right w:val="single" w:sz="4" w:space="0" w:color="auto"/>
            </w:tcBorders>
            <w:noWrap/>
            <w:vAlign w:val="center"/>
          </w:tcPr>
          <w:p w:rsidR="00FB2534" w:rsidRPr="00644B0C" w:rsidRDefault="00FB2534" w:rsidP="00556986">
            <w:pPr>
              <w:jc w:val="right"/>
              <w:rPr>
                <w:rFonts w:ascii="Calibri" w:hAnsi="Calibri"/>
                <w:b/>
                <w:bCs/>
                <w:color w:val="000000"/>
                <w:sz w:val="18"/>
                <w:szCs w:val="18"/>
              </w:rPr>
            </w:pPr>
            <w:r w:rsidRPr="00644B0C">
              <w:rPr>
                <w:rFonts w:ascii="Calibri" w:hAnsi="Calibri"/>
                <w:b/>
                <w:bCs/>
                <w:color w:val="000000"/>
                <w:sz w:val="18"/>
                <w:szCs w:val="18"/>
              </w:rPr>
              <w:t>RAZEM</w:t>
            </w:r>
          </w:p>
        </w:tc>
        <w:tc>
          <w:tcPr>
            <w:tcW w:w="1328"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1 830,6</w:t>
            </w:r>
          </w:p>
        </w:tc>
        <w:tc>
          <w:tcPr>
            <w:tcW w:w="13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43,6</w:t>
            </w:r>
          </w:p>
        </w:tc>
        <w:tc>
          <w:tcPr>
            <w:tcW w:w="157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1 397,2</w:t>
            </w:r>
          </w:p>
        </w:tc>
        <w:tc>
          <w:tcPr>
            <w:tcW w:w="11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2 604,5</w:t>
            </w:r>
          </w:p>
        </w:tc>
        <w:tc>
          <w:tcPr>
            <w:tcW w:w="13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28 024,9</w:t>
            </w:r>
          </w:p>
        </w:tc>
      </w:tr>
    </w:tbl>
    <w:p w:rsidR="00FB2534" w:rsidRDefault="00FB2534" w:rsidP="007A7B69">
      <w:pPr>
        <w:pStyle w:val="GOMnormal"/>
      </w:pPr>
      <w:r>
        <w:t>Przeważa zużycie paliw stałych, za co w głównej mierze odpowiada sektor budynków mieszkalnych. Drugim istotnym paliwem ze względu na wielkość zużycia energii jest drewno, w mniejszym stopniu wykorzystywany w gminie jest olej opałowy i gaz ziemny.</w:t>
      </w:r>
    </w:p>
    <w:p w:rsidR="00FB2534" w:rsidRDefault="00FB2534" w:rsidP="007A7B69">
      <w:pPr>
        <w:pStyle w:val="GOMnormal"/>
      </w:pPr>
      <w:r>
        <w:t>Emisja dwutlenku węgla w wyniku spalania paliw w Gminie Wiejskiej Malbork przedstawiona została w kolejnej tabeli. Najwięcej CO</w:t>
      </w:r>
      <w:r w:rsidRPr="004462E0">
        <w:rPr>
          <w:vertAlign w:val="subscript"/>
        </w:rPr>
        <w:t>2</w:t>
      </w:r>
      <w:r>
        <w:t xml:space="preserve"> emitowane jest do powietrza w wyniku spalania paliw stałych, głównie z sektora budynków mieszkalnych. Emisje z pozostałych paliw są ponad rząd mniejsze. </w:t>
      </w:r>
    </w:p>
    <w:p w:rsidR="00FB2534" w:rsidRDefault="00FB2534">
      <w:pPr>
        <w:rPr>
          <w:rFonts w:ascii="Calibri" w:hAnsi="Calibri"/>
          <w:i/>
          <w:sz w:val="18"/>
          <w:szCs w:val="16"/>
        </w:rPr>
      </w:pPr>
      <w:bookmarkStart w:id="159" w:name="_Toc416981918"/>
      <w:r>
        <w:br w:type="page"/>
      </w:r>
    </w:p>
    <w:p w:rsidR="00FB2534" w:rsidRDefault="00FB2534" w:rsidP="007A7B69">
      <w:pPr>
        <w:pStyle w:val="GOMpodpistab"/>
      </w:pPr>
      <w:bookmarkStart w:id="160" w:name="_Toc422135105"/>
      <w:r>
        <w:t xml:space="preserve">Tabela </w:t>
      </w:r>
      <w:r>
        <w:fldChar w:fldCharType="begin"/>
      </w:r>
      <w:r>
        <w:instrText xml:space="preserve"> SEQ Tabela \* ARABIC </w:instrText>
      </w:r>
      <w:r>
        <w:fldChar w:fldCharType="separate"/>
      </w:r>
      <w:r>
        <w:rPr>
          <w:noProof/>
        </w:rPr>
        <w:t>12</w:t>
      </w:r>
      <w:r>
        <w:fldChar w:fldCharType="end"/>
      </w:r>
      <w:r>
        <w:t>. Emisja ekwiwalentnego dwutlenku węgla</w:t>
      </w:r>
      <w:r w:rsidRPr="00C37780">
        <w:t xml:space="preserve"> w </w:t>
      </w:r>
      <w:r>
        <w:t>Gminie Wiejskiej Malbork</w:t>
      </w:r>
      <w:r w:rsidRPr="00F93431">
        <w:t xml:space="preserve"> </w:t>
      </w:r>
      <w:r>
        <w:t>w poszczególnych sektorach wynikająca ze zużycia różnego rodzaju paliw</w:t>
      </w:r>
      <w:bookmarkEnd w:id="159"/>
      <w:r>
        <w:rPr>
          <w:rStyle w:val="FootnoteReference"/>
        </w:rPr>
        <w:footnoteReference w:id="21"/>
      </w:r>
      <w:bookmarkEnd w:id="160"/>
    </w:p>
    <w:tbl>
      <w:tblPr>
        <w:tblW w:w="5000" w:type="pct"/>
        <w:jc w:val="center"/>
        <w:tblCellMar>
          <w:top w:w="28" w:type="dxa"/>
          <w:left w:w="68" w:type="dxa"/>
          <w:bottom w:w="28" w:type="dxa"/>
          <w:right w:w="68" w:type="dxa"/>
        </w:tblCellMar>
        <w:tblLook w:val="00A0" w:firstRow="1" w:lastRow="0" w:firstColumn="1" w:lastColumn="0" w:noHBand="0" w:noVBand="0"/>
      </w:tblPr>
      <w:tblGrid>
        <w:gridCol w:w="1890"/>
        <w:gridCol w:w="1333"/>
        <w:gridCol w:w="1242"/>
        <w:gridCol w:w="1287"/>
        <w:gridCol w:w="1232"/>
        <w:gridCol w:w="1821"/>
      </w:tblGrid>
      <w:tr w:rsidR="00FB2534" w:rsidRPr="004C17C7" w:rsidTr="00556986">
        <w:trPr>
          <w:cantSplit/>
          <w:trHeight w:val="227"/>
          <w:tblHeader/>
          <w:jc w:val="center"/>
        </w:trPr>
        <w:tc>
          <w:tcPr>
            <w:tcW w:w="1888"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sektor</w:t>
            </w:r>
          </w:p>
        </w:tc>
        <w:tc>
          <w:tcPr>
            <w:tcW w:w="6914" w:type="dxa"/>
            <w:gridSpan w:val="5"/>
            <w:tcBorders>
              <w:top w:val="single" w:sz="4" w:space="0" w:color="auto"/>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emisja CO</w:t>
            </w:r>
            <w:r w:rsidRPr="004C17C7">
              <w:rPr>
                <w:rFonts w:ascii="Calibri" w:hAnsi="Calibri"/>
                <w:b/>
                <w:bCs/>
                <w:sz w:val="18"/>
                <w:szCs w:val="18"/>
                <w:vertAlign w:val="subscript"/>
              </w:rPr>
              <w:t>2eq</w:t>
            </w:r>
            <w:r>
              <w:rPr>
                <w:rFonts w:ascii="Calibri" w:hAnsi="Calibri"/>
                <w:b/>
                <w:bCs/>
                <w:sz w:val="18"/>
                <w:szCs w:val="18"/>
              </w:rPr>
              <w:t xml:space="preserve"> [Mg/rok]</w:t>
            </w:r>
          </w:p>
        </w:tc>
      </w:tr>
      <w:tr w:rsidR="00FB2534" w:rsidRPr="004C17C7" w:rsidTr="00556986">
        <w:trPr>
          <w:cantSplit/>
          <w:trHeight w:val="227"/>
          <w:tblHeader/>
          <w:jc w:val="center"/>
        </w:trPr>
        <w:tc>
          <w:tcPr>
            <w:tcW w:w="1888" w:type="dxa"/>
            <w:vMerge/>
            <w:tcBorders>
              <w:top w:val="single" w:sz="4" w:space="0" w:color="auto"/>
              <w:left w:val="single" w:sz="4" w:space="0" w:color="auto"/>
              <w:bottom w:val="single" w:sz="4" w:space="0" w:color="auto"/>
              <w:right w:val="single" w:sz="4" w:space="0" w:color="auto"/>
            </w:tcBorders>
            <w:vAlign w:val="center"/>
          </w:tcPr>
          <w:p w:rsidR="00FB2534" w:rsidRPr="004C17C7" w:rsidRDefault="00FB2534" w:rsidP="00556986">
            <w:pPr>
              <w:rPr>
                <w:rFonts w:ascii="Calibri" w:hAnsi="Calibri"/>
                <w:b/>
                <w:bCs/>
                <w:sz w:val="18"/>
                <w:szCs w:val="18"/>
              </w:rPr>
            </w:pPr>
          </w:p>
        </w:tc>
        <w:tc>
          <w:tcPr>
            <w:tcW w:w="1333"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ze spalania gazu ziemnego</w:t>
            </w:r>
          </w:p>
        </w:tc>
        <w:tc>
          <w:tcPr>
            <w:tcW w:w="1242"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ze spalania gazu płynnego</w:t>
            </w:r>
          </w:p>
        </w:tc>
        <w:tc>
          <w:tcPr>
            <w:tcW w:w="1287"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 ogrzewania olejem opałowym</w:t>
            </w:r>
          </w:p>
        </w:tc>
        <w:tc>
          <w:tcPr>
            <w:tcW w:w="1232"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 ogrzewania drewnem</w:t>
            </w:r>
          </w:p>
        </w:tc>
        <w:tc>
          <w:tcPr>
            <w:tcW w:w="1820" w:type="dxa"/>
            <w:tcBorders>
              <w:top w:val="nil"/>
              <w:left w:val="nil"/>
              <w:bottom w:val="single" w:sz="4" w:space="0" w:color="auto"/>
              <w:right w:val="single" w:sz="4" w:space="0" w:color="auto"/>
            </w:tcBorders>
            <w:shd w:val="clear" w:color="000000" w:fill="BFBFBF"/>
            <w:vAlign w:val="center"/>
          </w:tcPr>
          <w:p w:rsidR="00FB2534" w:rsidRPr="004C17C7" w:rsidRDefault="00FB2534" w:rsidP="00556986">
            <w:pPr>
              <w:jc w:val="center"/>
              <w:rPr>
                <w:rFonts w:ascii="Calibri" w:hAnsi="Calibri"/>
                <w:b/>
                <w:bCs/>
                <w:sz w:val="18"/>
                <w:szCs w:val="18"/>
              </w:rPr>
            </w:pPr>
            <w:r w:rsidRPr="004C17C7">
              <w:rPr>
                <w:rFonts w:ascii="Calibri" w:hAnsi="Calibri"/>
                <w:b/>
                <w:bCs/>
                <w:sz w:val="18"/>
                <w:szCs w:val="18"/>
              </w:rPr>
              <w:t>z ogrzewania węglem/koksem innym paliwem stałym</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budynki użyteczności publicznej</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308,0</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1 527,9</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budynki mieszkalne</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364,2</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9,9</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79,3</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509,8</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7 917,2</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handel i usługi</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5,6</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2,5</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15,0</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251,5</w:t>
            </w:r>
          </w:p>
        </w:tc>
      </w:tr>
      <w:tr w:rsidR="00FB2534" w:rsidRPr="004C17C7" w:rsidTr="00AC1CBB">
        <w:trPr>
          <w:cantSplit/>
          <w:trHeight w:val="227"/>
          <w:jc w:val="center"/>
        </w:trPr>
        <w:tc>
          <w:tcPr>
            <w:tcW w:w="1888" w:type="dxa"/>
            <w:tcBorders>
              <w:top w:val="nil"/>
              <w:left w:val="single" w:sz="4" w:space="0" w:color="auto"/>
              <w:bottom w:val="single" w:sz="4" w:space="0" w:color="auto"/>
              <w:right w:val="single" w:sz="4" w:space="0" w:color="auto"/>
            </w:tcBorders>
            <w:shd w:val="clear" w:color="auto" w:fill="D9D9D9"/>
            <w:noWrap/>
            <w:vAlign w:val="center"/>
          </w:tcPr>
          <w:p w:rsidR="00FB2534" w:rsidRPr="004C17C7" w:rsidRDefault="00FB2534" w:rsidP="00556986">
            <w:pPr>
              <w:rPr>
                <w:rFonts w:ascii="Calibri" w:hAnsi="Calibri"/>
                <w:color w:val="000000"/>
                <w:sz w:val="18"/>
                <w:szCs w:val="18"/>
              </w:rPr>
            </w:pPr>
            <w:r w:rsidRPr="004C17C7">
              <w:rPr>
                <w:rFonts w:ascii="Calibri" w:hAnsi="Calibri"/>
                <w:color w:val="000000"/>
                <w:sz w:val="18"/>
                <w:szCs w:val="18"/>
              </w:rPr>
              <w:t>oświetlenie</w:t>
            </w:r>
          </w:p>
        </w:tc>
        <w:tc>
          <w:tcPr>
            <w:tcW w:w="1333" w:type="dxa"/>
            <w:tcBorders>
              <w:top w:val="nil"/>
              <w:left w:val="nil"/>
              <w:bottom w:val="single" w:sz="4" w:space="0" w:color="auto"/>
              <w:right w:val="single" w:sz="4" w:space="0" w:color="auto"/>
            </w:tcBorders>
            <w:shd w:val="clear" w:color="auto" w:fill="D9D9D9"/>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42" w:type="dxa"/>
            <w:tcBorders>
              <w:top w:val="nil"/>
              <w:left w:val="nil"/>
              <w:bottom w:val="single" w:sz="4" w:space="0" w:color="auto"/>
              <w:right w:val="single" w:sz="4" w:space="0" w:color="auto"/>
            </w:tcBorders>
            <w:shd w:val="clear" w:color="auto" w:fill="D9D9D9"/>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87" w:type="dxa"/>
            <w:tcBorders>
              <w:top w:val="nil"/>
              <w:left w:val="nil"/>
              <w:bottom w:val="single" w:sz="4" w:space="0" w:color="auto"/>
              <w:right w:val="single" w:sz="4" w:space="0" w:color="auto"/>
            </w:tcBorders>
            <w:shd w:val="clear" w:color="auto" w:fill="D9D9D9"/>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32" w:type="dxa"/>
            <w:tcBorders>
              <w:top w:val="nil"/>
              <w:left w:val="nil"/>
              <w:bottom w:val="single" w:sz="4" w:space="0" w:color="auto"/>
              <w:right w:val="single" w:sz="4" w:space="0" w:color="auto"/>
            </w:tcBorders>
            <w:shd w:val="clear" w:color="auto" w:fill="D9D9D9"/>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820" w:type="dxa"/>
            <w:tcBorders>
              <w:top w:val="nil"/>
              <w:left w:val="nil"/>
              <w:bottom w:val="single" w:sz="4" w:space="0" w:color="auto"/>
              <w:right w:val="single" w:sz="4" w:space="0" w:color="auto"/>
            </w:tcBorders>
            <w:shd w:val="clear" w:color="auto" w:fill="D9D9D9"/>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przemysł</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energetyka</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4C17C7" w:rsidTr="00556986">
        <w:trPr>
          <w:cantSplit/>
          <w:trHeight w:val="227"/>
          <w:jc w:val="center"/>
        </w:trPr>
        <w:tc>
          <w:tcPr>
            <w:tcW w:w="1888" w:type="dxa"/>
            <w:tcBorders>
              <w:top w:val="nil"/>
              <w:left w:val="single" w:sz="4" w:space="0" w:color="auto"/>
              <w:bottom w:val="single" w:sz="4" w:space="0" w:color="auto"/>
              <w:right w:val="single" w:sz="4" w:space="0" w:color="auto"/>
            </w:tcBorders>
            <w:noWrap/>
            <w:vAlign w:val="bottom"/>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RAZEM</w:t>
            </w:r>
          </w:p>
        </w:tc>
        <w:tc>
          <w:tcPr>
            <w:tcW w:w="1333"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369,8</w:t>
            </w:r>
          </w:p>
        </w:tc>
        <w:tc>
          <w:tcPr>
            <w:tcW w:w="124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9,9</w:t>
            </w:r>
          </w:p>
        </w:tc>
        <w:tc>
          <w:tcPr>
            <w:tcW w:w="1287"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389,8</w:t>
            </w:r>
          </w:p>
        </w:tc>
        <w:tc>
          <w:tcPr>
            <w:tcW w:w="1232"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524,8</w:t>
            </w:r>
          </w:p>
        </w:tc>
        <w:tc>
          <w:tcPr>
            <w:tcW w:w="1820"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9 696,6</w:t>
            </w:r>
          </w:p>
        </w:tc>
      </w:tr>
    </w:tbl>
    <w:p w:rsidR="00FB2534" w:rsidRDefault="00FB2534" w:rsidP="007A7B69">
      <w:pPr>
        <w:pStyle w:val="GOMnormal"/>
      </w:pPr>
      <w:r>
        <w:t>Generalnie, po uwzględnieniu wszystkich nośników energii w gminie z analizowanych sektorów, największa emisja dwutlenku węgla pochodzi ze zużycia paliw stałych (ponad 70%). Na kolejnym miejscu plasuje się energia elektryczna (ponad 19%). Pozostałe paliwa w znikomy sposób generują emisję CO</w:t>
      </w:r>
      <w:r w:rsidRPr="00E06600">
        <w:rPr>
          <w:vertAlign w:val="subscript"/>
        </w:rPr>
        <w:t>2</w:t>
      </w:r>
      <w:r>
        <w:t xml:space="preserve"> do powietrza. Strukturę emisji CO</w:t>
      </w:r>
      <w:r w:rsidRPr="00E06600">
        <w:rPr>
          <w:vertAlign w:val="subscript"/>
        </w:rPr>
        <w:t>2</w:t>
      </w:r>
      <w:r>
        <w:t xml:space="preserve"> pokazano na rysunku poniżej.</w:t>
      </w:r>
    </w:p>
    <w:p w:rsidR="00FB2534" w:rsidRDefault="00FB2534" w:rsidP="007A7B69">
      <w:pPr>
        <w:pStyle w:val="GOMnormal"/>
        <w:keepNext/>
      </w:pPr>
      <w:r>
        <w:rPr>
          <w:noProof/>
        </w:rPr>
        <w:pict>
          <v:shape id="Wykres 17" o:spid="_x0000_i1037" type="#_x0000_t75" style="width:434.25pt;height:176.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">
            <v:imagedata r:id="rId26" o:title="" cropbottom="-37f"/>
            <o:lock v:ext="edit" aspectratio="f"/>
          </v:shape>
        </w:pict>
      </w:r>
    </w:p>
    <w:p w:rsidR="00FB2534" w:rsidRDefault="00FB2534" w:rsidP="007A7B69">
      <w:pPr>
        <w:pStyle w:val="GOMpodpistab"/>
      </w:pPr>
      <w:bookmarkStart w:id="161" w:name="_Toc416981934"/>
      <w:bookmarkStart w:id="162" w:name="_Toc422133280"/>
      <w:r>
        <w:t xml:space="preserve">Rysunek </w:t>
      </w:r>
      <w:r>
        <w:fldChar w:fldCharType="begin"/>
      </w:r>
      <w:r>
        <w:instrText xml:space="preserve"> SEQ Rysunek \* ARABIC </w:instrText>
      </w:r>
      <w:r>
        <w:fldChar w:fldCharType="separate"/>
      </w:r>
      <w:r>
        <w:rPr>
          <w:noProof/>
        </w:rPr>
        <w:t>7</w:t>
      </w:r>
      <w:r>
        <w:fldChar w:fldCharType="end"/>
      </w:r>
      <w:r>
        <w:t>. Struktura udziałów poszczególnych paliw oraz energii cieplnej i elektrycznej zużywanych w Gminie Wiejskiej Malbork</w:t>
      </w:r>
      <w:r w:rsidRPr="00F93431">
        <w:t xml:space="preserve"> </w:t>
      </w:r>
      <w:r>
        <w:t>w emisji dwutlenku węgla</w:t>
      </w:r>
      <w:bookmarkEnd w:id="161"/>
      <w:r>
        <w:rPr>
          <w:rStyle w:val="FootnoteReference"/>
        </w:rPr>
        <w:footnoteReference w:id="22"/>
      </w:r>
      <w:bookmarkEnd w:id="162"/>
    </w:p>
    <w:p w:rsidR="00FB2534" w:rsidRDefault="00FB2534" w:rsidP="007A7B69">
      <w:pPr>
        <w:pStyle w:val="GOMnormal"/>
      </w:pPr>
      <w:r>
        <w:t>Zużycie paliw stałych jest dominującym źródłem emisji CO</w:t>
      </w:r>
      <w:r w:rsidRPr="00BC07D6">
        <w:rPr>
          <w:vertAlign w:val="subscript"/>
        </w:rPr>
        <w:t>2</w:t>
      </w:r>
      <w:r>
        <w:t xml:space="preserve"> w sektorze budynków mieszkalnych, sektorze handlu i usług oraz w budynkach użyteczności publicznej. W sektorach budynków użyteczności publicznej na uwagę zasługuje udział oleju opałowego. W budynkach mieszkalnych z kolei drugim w kolejności źródłem emisji CO</w:t>
      </w:r>
      <w:r w:rsidRPr="00A54FB3">
        <w:rPr>
          <w:vertAlign w:val="subscript"/>
        </w:rPr>
        <w:t>2</w:t>
      </w:r>
      <w:r>
        <w:t xml:space="preserve"> jest zużycie energii elektrycznej, a trzecim spalanie drewna. Dokładnie przedstawiono strukturę emisji dwutlenku węgla na rysunku poniżej.</w:t>
      </w:r>
    </w:p>
    <w:p w:rsidR="00FB2534" w:rsidRDefault="00FB2534" w:rsidP="007A7B69">
      <w:pPr>
        <w:pStyle w:val="GOMnormal"/>
        <w:keepNext/>
      </w:pPr>
      <w:r>
        <w:rPr>
          <w:noProof/>
        </w:rPr>
        <w:pict>
          <v:shape id="Wykres 18" o:spid="_x0000_i1038" type="#_x0000_t75" style="width:433.5pt;height:213.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">
            <v:imagedata r:id="rId27" o:title=""/>
            <o:lock v:ext="edit" aspectratio="f"/>
          </v:shape>
        </w:pict>
      </w:r>
    </w:p>
    <w:p w:rsidR="00FB2534" w:rsidRDefault="00FB2534" w:rsidP="00CF4498">
      <w:pPr>
        <w:pStyle w:val="GOMpodpistab"/>
      </w:pPr>
      <w:bookmarkStart w:id="163" w:name="_Toc416981935"/>
      <w:bookmarkStart w:id="164" w:name="_Toc422133281"/>
      <w:r w:rsidRPr="001D734E">
        <w:t xml:space="preserve">Rysunek </w:t>
      </w:r>
      <w:r>
        <w:fldChar w:fldCharType="begin"/>
      </w:r>
      <w:r>
        <w:instrText xml:space="preserve"> SEQ Rysunek \* ARABIC </w:instrText>
      </w:r>
      <w:r>
        <w:fldChar w:fldCharType="separate"/>
      </w:r>
      <w:r>
        <w:rPr>
          <w:noProof/>
        </w:rPr>
        <w:t>8</w:t>
      </w:r>
      <w:r>
        <w:fldChar w:fldCharType="end"/>
      </w:r>
      <w:r w:rsidRPr="001D734E">
        <w:t>. Struktura emisji CO</w:t>
      </w:r>
      <w:r w:rsidRPr="00BC07D6">
        <w:rPr>
          <w:vertAlign w:val="subscript"/>
        </w:rPr>
        <w:t>2</w:t>
      </w:r>
      <w:r w:rsidRPr="001D734E">
        <w:t xml:space="preserve"> wynikającej ze zużycie energii elektrycznej, cieplnej oraz poszczegó</w:t>
      </w:r>
      <w:r>
        <w:t>lnych paliw w analizowanych</w:t>
      </w:r>
      <w:r w:rsidRPr="001D734E">
        <w:t xml:space="preserve"> sektorach</w:t>
      </w:r>
      <w:bookmarkEnd w:id="163"/>
      <w:r>
        <w:rPr>
          <w:rStyle w:val="FootnoteReference"/>
        </w:rPr>
        <w:footnoteReference w:id="23"/>
      </w:r>
      <w:bookmarkEnd w:id="164"/>
    </w:p>
    <w:p w:rsidR="00FB2534" w:rsidRDefault="00FB2534" w:rsidP="007A7B69">
      <w:pPr>
        <w:pStyle w:val="GOMwyr"/>
      </w:pPr>
      <w:r>
        <w:t>Sektory uwzględnione w inwentaryzacji emisji dwutlenku węgla</w:t>
      </w:r>
    </w:p>
    <w:p w:rsidR="00FB2534" w:rsidRDefault="00FB2534" w:rsidP="007A7B69">
      <w:pPr>
        <w:pStyle w:val="GOMpowyr"/>
      </w:pPr>
      <w:r>
        <w:t>Sektor transportu</w:t>
      </w:r>
    </w:p>
    <w:p w:rsidR="00FB2534" w:rsidRDefault="00FB2534" w:rsidP="007A7B69">
      <w:pPr>
        <w:pStyle w:val="GOMnormal"/>
      </w:pPr>
      <w:r w:rsidRPr="006C2279">
        <w:t>Największy udział emisji dwutlenku węgla ekwiwalentnego w roku bazowym przypadał na sektor transportu.</w:t>
      </w:r>
    </w:p>
    <w:p w:rsidR="00FB2534" w:rsidRPr="00B1448F" w:rsidRDefault="00FB2534" w:rsidP="007A7B69">
      <w:pPr>
        <w:pStyle w:val="GOMnormal"/>
      </w:pPr>
      <w:r w:rsidRPr="00B1448F">
        <w:t>W zakresie floty samochodowej, ze względu na różny charakter użytkowania pojazdów, uwzględniono cztery grupy pojazdów: pojazdy osobowe, dostawcze, ciężarowe i autobusy. Z uwagi na brak danych z przedsiębiorstw transportowych nie wskazano udziału transport publicznego</w:t>
      </w:r>
      <w:r>
        <w:t>.</w:t>
      </w:r>
      <w:r w:rsidRPr="00B1448F">
        <w:t xml:space="preserve"> </w:t>
      </w:r>
      <w:r>
        <w:t xml:space="preserve">Gmina posiada jeden samochód przeznaczony do przewozu osób niepełnosprawnych – mikrobus. </w:t>
      </w:r>
      <w:r w:rsidRPr="00B1448F">
        <w:t xml:space="preserve">Kolejna tabela ukazuje zużycie poszczególnych paliw w sektorze transportu w przeliczeniu na </w:t>
      </w:r>
      <w:r>
        <w:t>energię</w:t>
      </w:r>
      <w:r w:rsidRPr="00B1448F">
        <w:t xml:space="preserve"> finalną.</w:t>
      </w:r>
      <w:r>
        <w:t xml:space="preserve"> </w:t>
      </w:r>
      <w:r w:rsidRPr="00D93064">
        <w:t>Zużycie energii finalnej i emisje CO</w:t>
      </w:r>
      <w:r w:rsidRPr="00D93064">
        <w:rPr>
          <w:vertAlign w:val="subscript"/>
        </w:rPr>
        <w:t>2</w:t>
      </w:r>
      <w:r w:rsidRPr="00D93064">
        <w:t xml:space="preserve"> z sektora publicznego zostały obliczone na podstawie ankiet wypełnionych przez Gminę. Szczegółowe informacje przekazane w tych ankietach i wykorzystane w Bazie Danych PGN GOM zestawiono w załączniku.</w:t>
      </w:r>
    </w:p>
    <w:p w:rsidR="00FB2534" w:rsidRDefault="00FB2534" w:rsidP="007A7B69">
      <w:pPr>
        <w:pStyle w:val="GOMpodpistab"/>
      </w:pPr>
      <w:bookmarkStart w:id="165" w:name="_Toc416981919"/>
      <w:bookmarkStart w:id="166" w:name="_Toc422135106"/>
      <w:r>
        <w:t xml:space="preserve">Tabela </w:t>
      </w:r>
      <w:r>
        <w:fldChar w:fldCharType="begin"/>
      </w:r>
      <w:r>
        <w:instrText xml:space="preserve"> SEQ Tabela \* ARABIC </w:instrText>
      </w:r>
      <w:r>
        <w:fldChar w:fldCharType="separate"/>
      </w:r>
      <w:r>
        <w:rPr>
          <w:noProof/>
        </w:rPr>
        <w:t>13</w:t>
      </w:r>
      <w:r>
        <w:fldChar w:fldCharType="end"/>
      </w:r>
      <w:r>
        <w:t>. Zużycie poszczególnych paliw w przeliczeniu na energię finalną oraz emisja dwutlenku węgla w sektorze transportu wynikająca ze spalania różnych paliw</w:t>
      </w:r>
      <w:bookmarkEnd w:id="165"/>
      <w:r>
        <w:rPr>
          <w:rStyle w:val="FootnoteReference"/>
        </w:rPr>
        <w:footnoteReference w:id="24"/>
      </w:r>
      <w:bookmarkEnd w:id="166"/>
    </w:p>
    <w:tbl>
      <w:tblPr>
        <w:tblW w:w="5000" w:type="pct"/>
        <w:jc w:val="center"/>
        <w:tblCellMar>
          <w:top w:w="28" w:type="dxa"/>
          <w:left w:w="68" w:type="dxa"/>
          <w:bottom w:w="28" w:type="dxa"/>
          <w:right w:w="68" w:type="dxa"/>
        </w:tblCellMar>
        <w:tblLook w:val="00A0" w:firstRow="1" w:lastRow="0" w:firstColumn="1" w:lastColumn="0" w:noHBand="0" w:noVBand="0"/>
      </w:tblPr>
      <w:tblGrid>
        <w:gridCol w:w="2223"/>
        <w:gridCol w:w="1956"/>
        <w:gridCol w:w="2310"/>
        <w:gridCol w:w="2316"/>
      </w:tblGrid>
      <w:tr w:rsidR="00FB2534" w:rsidTr="00556986">
        <w:trPr>
          <w:cantSplit/>
          <w:trHeight w:val="227"/>
          <w:tblHeader/>
          <w:jc w:val="center"/>
        </w:trPr>
        <w:tc>
          <w:tcPr>
            <w:tcW w:w="2223" w:type="dxa"/>
            <w:tcBorders>
              <w:top w:val="single" w:sz="4" w:space="0" w:color="auto"/>
              <w:left w:val="single" w:sz="4" w:space="0" w:color="auto"/>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color w:val="000000"/>
                <w:sz w:val="18"/>
                <w:szCs w:val="18"/>
              </w:rPr>
            </w:pPr>
            <w:r>
              <w:rPr>
                <w:rFonts w:ascii="Calibri" w:hAnsi="Calibri"/>
                <w:b/>
                <w:bCs/>
                <w:color w:val="000000"/>
                <w:sz w:val="18"/>
                <w:szCs w:val="18"/>
              </w:rPr>
              <w:t>Parametr</w:t>
            </w:r>
          </w:p>
        </w:tc>
        <w:tc>
          <w:tcPr>
            <w:tcW w:w="1955"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color w:val="000000"/>
                <w:sz w:val="18"/>
                <w:szCs w:val="18"/>
              </w:rPr>
            </w:pPr>
            <w:r>
              <w:rPr>
                <w:rFonts w:ascii="Calibri" w:hAnsi="Calibri"/>
                <w:b/>
                <w:bCs/>
                <w:color w:val="000000"/>
                <w:sz w:val="18"/>
                <w:szCs w:val="18"/>
              </w:rPr>
              <w:t>paliwo</w:t>
            </w:r>
          </w:p>
        </w:tc>
        <w:tc>
          <w:tcPr>
            <w:tcW w:w="2309"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color w:val="000000"/>
                <w:sz w:val="18"/>
                <w:szCs w:val="18"/>
              </w:rPr>
            </w:pPr>
            <w:r>
              <w:rPr>
                <w:rFonts w:ascii="Calibri" w:hAnsi="Calibri"/>
                <w:b/>
                <w:bCs/>
                <w:color w:val="000000"/>
                <w:sz w:val="18"/>
                <w:szCs w:val="18"/>
              </w:rPr>
              <w:t>transport na terenie Gminy Wiejskiej Malbork</w:t>
            </w:r>
          </w:p>
        </w:tc>
        <w:tc>
          <w:tcPr>
            <w:tcW w:w="2315" w:type="dxa"/>
            <w:tcBorders>
              <w:top w:val="single" w:sz="4" w:space="0" w:color="auto"/>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color w:val="000000"/>
                <w:sz w:val="18"/>
                <w:szCs w:val="18"/>
              </w:rPr>
            </w:pPr>
            <w:r>
              <w:rPr>
                <w:rFonts w:ascii="Calibri" w:hAnsi="Calibri"/>
                <w:b/>
                <w:bCs/>
                <w:color w:val="000000"/>
                <w:sz w:val="18"/>
                <w:szCs w:val="18"/>
              </w:rPr>
              <w:t>w tym sektor publiczny</w:t>
            </w:r>
          </w:p>
        </w:tc>
      </w:tr>
      <w:tr w:rsidR="00FB2534" w:rsidTr="00556986">
        <w:trPr>
          <w:cantSplit/>
          <w:trHeight w:val="227"/>
          <w:jc w:val="center"/>
        </w:trPr>
        <w:tc>
          <w:tcPr>
            <w:tcW w:w="2223" w:type="dxa"/>
            <w:vMerge w:val="restart"/>
            <w:tcBorders>
              <w:top w:val="nil"/>
              <w:left w:val="single" w:sz="4" w:space="0" w:color="auto"/>
              <w:bottom w:val="single" w:sz="4" w:space="0" w:color="auto"/>
              <w:right w:val="single" w:sz="4" w:space="0" w:color="auto"/>
            </w:tcBorders>
            <w:vAlign w:val="center"/>
          </w:tcPr>
          <w:p w:rsidR="00FB2534" w:rsidRDefault="00FB2534" w:rsidP="00556986">
            <w:pPr>
              <w:jc w:val="center"/>
              <w:rPr>
                <w:rFonts w:ascii="Calibri" w:hAnsi="Calibri"/>
                <w:color w:val="000000"/>
                <w:sz w:val="18"/>
                <w:szCs w:val="18"/>
              </w:rPr>
            </w:pPr>
            <w:r>
              <w:rPr>
                <w:rFonts w:ascii="Calibri" w:hAnsi="Calibri"/>
                <w:color w:val="000000"/>
                <w:sz w:val="18"/>
                <w:szCs w:val="18"/>
              </w:rPr>
              <w:t>zużycie energii finalnej [MWh]</w:t>
            </w: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benzyna</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27 808,6</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75,3 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olej napędowy (Diesel)</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27 438,0</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gaz LPG</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4 170,5</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SUMA energii</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59 417,2</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b/>
                <w:bCs/>
                <w:color w:val="000000"/>
                <w:sz w:val="18"/>
                <w:szCs w:val="18"/>
              </w:rPr>
            </w:pPr>
            <w:r>
              <w:rPr>
                <w:rFonts w:ascii="Calibri" w:hAnsi="Calibri"/>
                <w:b/>
                <w:bCs/>
                <w:color w:val="000000"/>
                <w:sz w:val="18"/>
                <w:szCs w:val="18"/>
              </w:rPr>
              <w:t>75,3 </w:t>
            </w:r>
          </w:p>
        </w:tc>
      </w:tr>
      <w:tr w:rsidR="00FB2534" w:rsidTr="00556986">
        <w:trPr>
          <w:cantSplit/>
          <w:trHeight w:val="227"/>
          <w:jc w:val="center"/>
        </w:trPr>
        <w:tc>
          <w:tcPr>
            <w:tcW w:w="2223" w:type="dxa"/>
            <w:vMerge w:val="restart"/>
            <w:tcBorders>
              <w:top w:val="nil"/>
              <w:left w:val="single" w:sz="4" w:space="0" w:color="auto"/>
              <w:bottom w:val="single" w:sz="4" w:space="0" w:color="auto"/>
              <w:right w:val="single" w:sz="4" w:space="0" w:color="auto"/>
            </w:tcBorders>
            <w:vAlign w:val="center"/>
          </w:tcPr>
          <w:p w:rsidR="00FB2534" w:rsidRDefault="00FB2534" w:rsidP="00556986">
            <w:pPr>
              <w:jc w:val="center"/>
              <w:rPr>
                <w:rFonts w:ascii="Calibri" w:hAnsi="Calibri"/>
                <w:color w:val="000000"/>
                <w:sz w:val="18"/>
                <w:szCs w:val="18"/>
              </w:rPr>
            </w:pPr>
            <w:r>
              <w:rPr>
                <w:rFonts w:ascii="Calibri" w:hAnsi="Calibri"/>
                <w:color w:val="000000"/>
                <w:sz w:val="18"/>
                <w:szCs w:val="18"/>
              </w:rPr>
              <w:t>emisja CO</w:t>
            </w:r>
            <w:r w:rsidRPr="00FD5BF3">
              <w:rPr>
                <w:rFonts w:ascii="Calibri" w:hAnsi="Calibri"/>
                <w:color w:val="000000"/>
                <w:sz w:val="18"/>
                <w:szCs w:val="18"/>
                <w:vertAlign w:val="subscript"/>
              </w:rPr>
              <w:t>2</w:t>
            </w:r>
            <w:r>
              <w:rPr>
                <w:rFonts w:ascii="Calibri" w:hAnsi="Calibri"/>
                <w:color w:val="000000"/>
                <w:sz w:val="18"/>
                <w:szCs w:val="18"/>
              </w:rPr>
              <w:t xml:space="preserve"> z poszczególnych rodzajów paliw [Mg/rok]</w:t>
            </w: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benzyna</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7 146,8</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19,4 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olej napędowy (Diesel)</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7 353,4</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gaz LPG</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color w:val="000000"/>
                <w:sz w:val="18"/>
                <w:szCs w:val="18"/>
              </w:rPr>
            </w:pPr>
            <w:r>
              <w:rPr>
                <w:rFonts w:ascii="Calibri" w:hAnsi="Calibri"/>
                <w:color w:val="000000"/>
                <w:sz w:val="18"/>
                <w:szCs w:val="18"/>
              </w:rPr>
              <w:t>954,6</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color w:val="000000"/>
                <w:sz w:val="18"/>
                <w:szCs w:val="18"/>
              </w:rPr>
            </w:pPr>
            <w:r>
              <w:rPr>
                <w:rFonts w:ascii="Calibri" w:hAnsi="Calibri"/>
                <w:color w:val="000000"/>
                <w:sz w:val="18"/>
                <w:szCs w:val="18"/>
              </w:rPr>
              <w:t> </w:t>
            </w:r>
          </w:p>
        </w:tc>
      </w:tr>
      <w:tr w:rsidR="00FB2534" w:rsidTr="00556986">
        <w:trPr>
          <w:cantSplit/>
          <w:trHeight w:val="227"/>
          <w:jc w:val="center"/>
        </w:trPr>
        <w:tc>
          <w:tcPr>
            <w:tcW w:w="2223" w:type="dxa"/>
            <w:vMerge/>
            <w:tcBorders>
              <w:top w:val="nil"/>
              <w:left w:val="single" w:sz="4" w:space="0" w:color="auto"/>
              <w:bottom w:val="single" w:sz="4" w:space="0" w:color="auto"/>
              <w:right w:val="single" w:sz="4" w:space="0" w:color="auto"/>
            </w:tcBorders>
            <w:vAlign w:val="center"/>
          </w:tcPr>
          <w:p w:rsidR="00FB2534" w:rsidRDefault="00FB2534" w:rsidP="00556986">
            <w:pPr>
              <w:rPr>
                <w:rFonts w:ascii="Calibri" w:hAnsi="Calibri"/>
                <w:color w:val="000000"/>
                <w:sz w:val="18"/>
                <w:szCs w:val="18"/>
              </w:rPr>
            </w:pPr>
          </w:p>
        </w:tc>
        <w:tc>
          <w:tcPr>
            <w:tcW w:w="1955"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SUMA CO</w:t>
            </w:r>
            <w:r w:rsidRPr="00C906BF">
              <w:rPr>
                <w:rFonts w:ascii="Calibri" w:hAnsi="Calibri"/>
                <w:b/>
                <w:bCs/>
                <w:color w:val="000000"/>
                <w:sz w:val="18"/>
                <w:szCs w:val="18"/>
                <w:vertAlign w:val="subscript"/>
              </w:rPr>
              <w:t>2</w:t>
            </w:r>
          </w:p>
        </w:tc>
        <w:tc>
          <w:tcPr>
            <w:tcW w:w="2309" w:type="dxa"/>
            <w:tcBorders>
              <w:top w:val="nil"/>
              <w:left w:val="nil"/>
              <w:bottom w:val="single" w:sz="4" w:space="0" w:color="auto"/>
              <w:right w:val="single" w:sz="4" w:space="0" w:color="auto"/>
            </w:tcBorders>
            <w:noWrap/>
            <w:vAlign w:val="center"/>
          </w:tcPr>
          <w:p w:rsidR="00FB2534" w:rsidRDefault="00FB2534">
            <w:pPr>
              <w:jc w:val="right"/>
              <w:rPr>
                <w:rFonts w:ascii="Calibri" w:hAnsi="Calibri"/>
                <w:b/>
                <w:bCs/>
                <w:color w:val="000000"/>
                <w:sz w:val="18"/>
                <w:szCs w:val="18"/>
              </w:rPr>
            </w:pPr>
            <w:r>
              <w:rPr>
                <w:rFonts w:ascii="Calibri" w:hAnsi="Calibri"/>
                <w:b/>
                <w:bCs/>
                <w:color w:val="000000"/>
                <w:sz w:val="18"/>
                <w:szCs w:val="18"/>
              </w:rPr>
              <w:t>15 454,8</w:t>
            </w:r>
          </w:p>
        </w:tc>
        <w:tc>
          <w:tcPr>
            <w:tcW w:w="2315" w:type="dxa"/>
            <w:tcBorders>
              <w:top w:val="nil"/>
              <w:left w:val="nil"/>
              <w:bottom w:val="single" w:sz="4" w:space="0" w:color="auto"/>
              <w:right w:val="single" w:sz="4" w:space="0" w:color="auto"/>
            </w:tcBorders>
            <w:noWrap/>
            <w:vAlign w:val="center"/>
          </w:tcPr>
          <w:p w:rsidR="00FB2534" w:rsidRDefault="00FB2534" w:rsidP="00E00C0C">
            <w:pPr>
              <w:jc w:val="right"/>
              <w:rPr>
                <w:rFonts w:ascii="Calibri" w:hAnsi="Calibri"/>
                <w:b/>
                <w:bCs/>
                <w:color w:val="000000"/>
                <w:sz w:val="18"/>
                <w:szCs w:val="18"/>
              </w:rPr>
            </w:pPr>
            <w:r>
              <w:rPr>
                <w:rFonts w:ascii="Calibri" w:hAnsi="Calibri"/>
                <w:b/>
                <w:bCs/>
                <w:color w:val="000000"/>
                <w:sz w:val="18"/>
                <w:szCs w:val="18"/>
              </w:rPr>
              <w:t>19,4 </w:t>
            </w:r>
          </w:p>
        </w:tc>
      </w:tr>
    </w:tbl>
    <w:p w:rsidR="00FB2534" w:rsidRDefault="00FB2534" w:rsidP="007A7B69">
      <w:pPr>
        <w:pStyle w:val="GOMnormal"/>
      </w:pPr>
      <w:r w:rsidRPr="00BF143A">
        <w:t>Największym źródłem emisji CO</w:t>
      </w:r>
      <w:r w:rsidRPr="00BF143A">
        <w:rPr>
          <w:vertAlign w:val="subscript"/>
        </w:rPr>
        <w:t>2</w:t>
      </w:r>
      <w:r w:rsidRPr="00BF143A">
        <w:t xml:space="preserve"> do powietrza w sektorze transportu jest zużycie oleju napędowego (blisko 48%), a na drugim miejscu plasuje się benzyna (ponad 46%). Strukturę emisji pokazano na rysunku poniżej.</w:t>
      </w:r>
      <w:r>
        <w:t xml:space="preserve"> </w:t>
      </w:r>
    </w:p>
    <w:p w:rsidR="00FB2534" w:rsidRDefault="00FB2534" w:rsidP="000D0A02">
      <w:pPr>
        <w:pStyle w:val="GOMnormal"/>
        <w:keepNext/>
        <w:jc w:val="center"/>
      </w:pPr>
      <w:r>
        <w:rPr>
          <w:noProof/>
        </w:rPr>
        <w:pict>
          <v:shape id="Wykres 19" o:spid="_x0000_i1039" type="#_x0000_t75" style="width:411.75pt;height:180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">
            <v:imagedata r:id="rId28" o:title="" cropright="-32f"/>
            <o:lock v:ext="edit" aspectratio="f"/>
          </v:shape>
        </w:pict>
      </w:r>
    </w:p>
    <w:p w:rsidR="00FB2534" w:rsidRDefault="00FB2534" w:rsidP="004C3018">
      <w:pPr>
        <w:pStyle w:val="GOMpodpistab"/>
      </w:pPr>
      <w:bookmarkStart w:id="167" w:name="_Toc416981936"/>
      <w:bookmarkStart w:id="168" w:name="_Toc422133282"/>
      <w:r>
        <w:t xml:space="preserve">Rysunek </w:t>
      </w:r>
      <w:r>
        <w:fldChar w:fldCharType="begin"/>
      </w:r>
      <w:r>
        <w:instrText xml:space="preserve"> SEQ Rysunek \* ARABIC </w:instrText>
      </w:r>
      <w:r>
        <w:fldChar w:fldCharType="separate"/>
      </w:r>
      <w:r>
        <w:rPr>
          <w:noProof/>
        </w:rPr>
        <w:t>9</w:t>
      </w:r>
      <w:r>
        <w:fldChar w:fldCharType="end"/>
      </w:r>
      <w:r>
        <w:t xml:space="preserve">. </w:t>
      </w:r>
      <w:r w:rsidRPr="005E736F">
        <w:t>Struktura emisji CO</w:t>
      </w:r>
      <w:r w:rsidRPr="00343EF8">
        <w:rPr>
          <w:vertAlign w:val="subscript"/>
        </w:rPr>
        <w:t>2</w:t>
      </w:r>
      <w:r>
        <w:t xml:space="preserve"> wynikającej ze zużycia</w:t>
      </w:r>
      <w:r w:rsidRPr="005E736F">
        <w:t xml:space="preserve"> poszczególnych paliw w sektorze </w:t>
      </w:r>
      <w:r>
        <w:t>transportu</w:t>
      </w:r>
      <w:bookmarkEnd w:id="167"/>
      <w:r>
        <w:rPr>
          <w:rStyle w:val="FootnoteReference"/>
        </w:rPr>
        <w:footnoteReference w:id="25"/>
      </w:r>
      <w:bookmarkEnd w:id="168"/>
    </w:p>
    <w:p w:rsidR="00FB2534" w:rsidRDefault="00FB2534" w:rsidP="007A7B69">
      <w:pPr>
        <w:pStyle w:val="GOMpowyr"/>
      </w:pPr>
      <w:r>
        <w:t>Budynki mieszkalne</w:t>
      </w:r>
    </w:p>
    <w:p w:rsidR="00FB2534" w:rsidRDefault="00FB2534" w:rsidP="007A7B69">
      <w:pPr>
        <w:pStyle w:val="GOMnormal"/>
      </w:pPr>
      <w:r w:rsidRPr="00575B3D">
        <w:t xml:space="preserve">Emisja </w:t>
      </w:r>
      <w:r>
        <w:t>dwutlenku węgla z budynków mieszkalnych</w:t>
      </w:r>
      <w:r w:rsidRPr="00575B3D">
        <w:t xml:space="preserve"> pochodzi przede wszystkim z ogrzewania mieszkań oraz zużycia energii elektrycznej. Dominujący udział budynków o niskiej charakterystyce energetycznej (budowane przed rokiem 1990) powoduje, że jest to sektor o bardzo dużej emisji. Sektor ten obejmuje gospodarstwa domowe zlokalizowane na terenie </w:t>
      </w:r>
      <w:r>
        <w:t>Gminy Wiejskiej Malbork</w:t>
      </w:r>
      <w:r w:rsidRPr="00575B3D">
        <w:t>. Wielkość emisji CO</w:t>
      </w:r>
      <w:r w:rsidRPr="00575B3D">
        <w:rPr>
          <w:vertAlign w:val="subscript"/>
        </w:rPr>
        <w:t>2eq</w:t>
      </w:r>
      <w:r w:rsidRPr="00575B3D">
        <w:t xml:space="preserve"> z tego sektora zależna jest od ilości zużytej ene</w:t>
      </w:r>
      <w:r>
        <w:t>rgii elektrycznej oraz cieplnej</w:t>
      </w:r>
      <w:r w:rsidRPr="00575B3D">
        <w:t>.</w:t>
      </w:r>
      <w:r>
        <w:t xml:space="preserve"> Zużycie poszczególnych paliw w sektorze budynków mieszkalnych zestawiono w tabeli poniżej.</w:t>
      </w:r>
    </w:p>
    <w:p w:rsidR="00FB2534" w:rsidRDefault="00FB2534" w:rsidP="007A7B69">
      <w:pPr>
        <w:pStyle w:val="GOMpodpistab"/>
      </w:pPr>
      <w:bookmarkStart w:id="169" w:name="_Toc416981920"/>
      <w:bookmarkStart w:id="170" w:name="_Toc422135107"/>
      <w:r>
        <w:t xml:space="preserve">Tabela </w:t>
      </w:r>
      <w:r>
        <w:fldChar w:fldCharType="begin"/>
      </w:r>
      <w:r>
        <w:instrText xml:space="preserve"> SEQ Tabela \* ARABIC </w:instrText>
      </w:r>
      <w:r>
        <w:fldChar w:fldCharType="separate"/>
      </w:r>
      <w:r>
        <w:rPr>
          <w:noProof/>
        </w:rPr>
        <w:t>14</w:t>
      </w:r>
      <w:r>
        <w:fldChar w:fldCharType="end"/>
      </w:r>
      <w:r>
        <w:t>. Zużycie paliw w Gminie Wiejskiej Malbork</w:t>
      </w:r>
      <w:bookmarkEnd w:id="169"/>
      <w:r>
        <w:rPr>
          <w:rStyle w:val="FootnoteReference"/>
        </w:rPr>
        <w:footnoteReference w:id="26"/>
      </w:r>
      <w:bookmarkEnd w:id="170"/>
    </w:p>
    <w:tbl>
      <w:tblPr>
        <w:tblW w:w="5000" w:type="pct"/>
        <w:jc w:val="center"/>
        <w:tblCellMar>
          <w:top w:w="28" w:type="dxa"/>
          <w:left w:w="70" w:type="dxa"/>
          <w:bottom w:w="28" w:type="dxa"/>
          <w:right w:w="70" w:type="dxa"/>
        </w:tblCellMar>
        <w:tblLook w:val="00A0" w:firstRow="1" w:lastRow="0" w:firstColumn="1" w:lastColumn="0" w:noHBand="0" w:noVBand="0"/>
      </w:tblPr>
      <w:tblGrid>
        <w:gridCol w:w="1630"/>
        <w:gridCol w:w="1101"/>
        <w:gridCol w:w="1468"/>
        <w:gridCol w:w="1032"/>
        <w:gridCol w:w="1376"/>
        <w:gridCol w:w="1101"/>
        <w:gridCol w:w="1101"/>
      </w:tblGrid>
      <w:tr w:rsidR="00FB2534" w:rsidTr="00556986">
        <w:trPr>
          <w:trHeight w:val="227"/>
          <w:jc w:val="center"/>
        </w:trPr>
        <w:tc>
          <w:tcPr>
            <w:tcW w:w="1420"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color w:val="000000"/>
                <w:sz w:val="18"/>
                <w:szCs w:val="18"/>
              </w:rPr>
            </w:pPr>
            <w:r>
              <w:rPr>
                <w:rFonts w:ascii="Calibri" w:hAnsi="Calibri"/>
                <w:b/>
                <w:bCs/>
                <w:color w:val="000000"/>
                <w:sz w:val="18"/>
                <w:szCs w:val="18"/>
              </w:rPr>
              <w:t>obszar bilansowy</w:t>
            </w:r>
          </w:p>
        </w:tc>
        <w:tc>
          <w:tcPr>
            <w:tcW w:w="6260" w:type="dxa"/>
            <w:gridSpan w:val="6"/>
            <w:tcBorders>
              <w:top w:val="single" w:sz="4" w:space="0" w:color="auto"/>
              <w:left w:val="nil"/>
              <w:bottom w:val="single" w:sz="4" w:space="0" w:color="auto"/>
              <w:right w:val="single" w:sz="4" w:space="0" w:color="000000"/>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zużycie paliw w sektorze mieszkaniowym</w:t>
            </w:r>
          </w:p>
        </w:tc>
      </w:tr>
      <w:tr w:rsidR="00FB2534" w:rsidTr="00556986">
        <w:trPr>
          <w:trHeight w:val="227"/>
          <w:jc w:val="center"/>
        </w:trPr>
        <w:tc>
          <w:tcPr>
            <w:tcW w:w="1420" w:type="dxa"/>
            <w:vMerge/>
            <w:tcBorders>
              <w:top w:val="single" w:sz="4" w:space="0" w:color="auto"/>
              <w:left w:val="single" w:sz="4" w:space="0" w:color="auto"/>
              <w:bottom w:val="single" w:sz="4" w:space="0" w:color="auto"/>
              <w:right w:val="single" w:sz="4" w:space="0" w:color="auto"/>
            </w:tcBorders>
            <w:vAlign w:val="center"/>
          </w:tcPr>
          <w:p w:rsidR="00FB2534" w:rsidRDefault="00FB2534" w:rsidP="00556986">
            <w:pPr>
              <w:rPr>
                <w:rFonts w:ascii="Calibri" w:hAnsi="Calibri"/>
                <w:b/>
                <w:bCs/>
                <w:color w:val="000000"/>
                <w:sz w:val="18"/>
                <w:szCs w:val="18"/>
              </w:rPr>
            </w:pPr>
          </w:p>
        </w:tc>
        <w:tc>
          <w:tcPr>
            <w:tcW w:w="96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gaz ziemny</w:t>
            </w:r>
          </w:p>
        </w:tc>
        <w:tc>
          <w:tcPr>
            <w:tcW w:w="128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gaz ziemny na ogrzewanie mieszkań</w:t>
            </w:r>
          </w:p>
        </w:tc>
        <w:tc>
          <w:tcPr>
            <w:tcW w:w="90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gaz płynny</w:t>
            </w:r>
          </w:p>
        </w:tc>
        <w:tc>
          <w:tcPr>
            <w:tcW w:w="120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olej</w:t>
            </w:r>
          </w:p>
        </w:tc>
        <w:tc>
          <w:tcPr>
            <w:tcW w:w="96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drewno</w:t>
            </w:r>
          </w:p>
        </w:tc>
        <w:tc>
          <w:tcPr>
            <w:tcW w:w="960" w:type="dxa"/>
            <w:tcBorders>
              <w:top w:val="nil"/>
              <w:left w:val="nil"/>
              <w:bottom w:val="single" w:sz="4" w:space="0" w:color="auto"/>
              <w:right w:val="single" w:sz="4" w:space="0" w:color="auto"/>
            </w:tcBorders>
            <w:shd w:val="clear" w:color="000000" w:fill="BFBFBF"/>
            <w:vAlign w:val="center"/>
          </w:tcPr>
          <w:p w:rsidR="00FB2534" w:rsidRDefault="00FB2534" w:rsidP="00556986">
            <w:pPr>
              <w:jc w:val="center"/>
              <w:rPr>
                <w:rFonts w:ascii="Calibri" w:hAnsi="Calibri"/>
                <w:b/>
                <w:bCs/>
                <w:sz w:val="18"/>
                <w:szCs w:val="18"/>
              </w:rPr>
            </w:pPr>
            <w:r>
              <w:rPr>
                <w:rFonts w:ascii="Calibri" w:hAnsi="Calibri"/>
                <w:b/>
                <w:bCs/>
                <w:sz w:val="18"/>
                <w:szCs w:val="18"/>
              </w:rPr>
              <w:t>węgiel lub koks</w:t>
            </w:r>
          </w:p>
        </w:tc>
      </w:tr>
      <w:tr w:rsidR="00FB2534" w:rsidTr="00556986">
        <w:trPr>
          <w:trHeight w:val="227"/>
          <w:jc w:val="center"/>
        </w:trPr>
        <w:tc>
          <w:tcPr>
            <w:tcW w:w="1420" w:type="dxa"/>
            <w:vMerge/>
            <w:tcBorders>
              <w:top w:val="single" w:sz="4" w:space="0" w:color="auto"/>
              <w:left w:val="single" w:sz="4" w:space="0" w:color="auto"/>
              <w:bottom w:val="single" w:sz="4" w:space="0" w:color="auto"/>
              <w:right w:val="single" w:sz="4" w:space="0" w:color="auto"/>
            </w:tcBorders>
            <w:vAlign w:val="center"/>
          </w:tcPr>
          <w:p w:rsidR="00FB2534" w:rsidRDefault="00FB2534" w:rsidP="00556986">
            <w:pPr>
              <w:rPr>
                <w:rFonts w:ascii="Calibri" w:hAnsi="Calibri"/>
                <w:b/>
                <w:bCs/>
                <w:color w:val="000000"/>
                <w:sz w:val="18"/>
                <w:szCs w:val="18"/>
              </w:rPr>
            </w:pPr>
          </w:p>
        </w:tc>
        <w:tc>
          <w:tcPr>
            <w:tcW w:w="96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w:t>
            </w:r>
            <w:r>
              <w:rPr>
                <w:rFonts w:ascii="Calibri" w:hAnsi="Calibri"/>
                <w:b/>
                <w:bCs/>
                <w:sz w:val="18"/>
                <w:szCs w:val="18"/>
                <w:vertAlign w:val="superscript"/>
              </w:rPr>
              <w:t>3</w:t>
            </w:r>
            <w:r>
              <w:rPr>
                <w:rFonts w:ascii="Calibri" w:hAnsi="Calibri"/>
                <w:b/>
                <w:bCs/>
                <w:sz w:val="18"/>
                <w:szCs w:val="18"/>
              </w:rPr>
              <w:t>/rok]</w:t>
            </w:r>
          </w:p>
        </w:tc>
        <w:tc>
          <w:tcPr>
            <w:tcW w:w="128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w:t>
            </w:r>
            <w:r>
              <w:rPr>
                <w:rFonts w:ascii="Calibri" w:hAnsi="Calibri"/>
                <w:b/>
                <w:bCs/>
                <w:sz w:val="18"/>
                <w:szCs w:val="18"/>
                <w:vertAlign w:val="superscript"/>
              </w:rPr>
              <w:t>3</w:t>
            </w:r>
            <w:r>
              <w:rPr>
                <w:rFonts w:ascii="Calibri" w:hAnsi="Calibri"/>
                <w:b/>
                <w:bCs/>
                <w:sz w:val="18"/>
                <w:szCs w:val="18"/>
              </w:rPr>
              <w:t>/rok]</w:t>
            </w:r>
          </w:p>
        </w:tc>
        <w:tc>
          <w:tcPr>
            <w:tcW w:w="90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w:t>
            </w:r>
            <w:r>
              <w:rPr>
                <w:rFonts w:ascii="Calibri" w:hAnsi="Calibri"/>
                <w:b/>
                <w:bCs/>
                <w:sz w:val="18"/>
                <w:szCs w:val="18"/>
                <w:vertAlign w:val="superscript"/>
              </w:rPr>
              <w:t>3</w:t>
            </w:r>
            <w:r>
              <w:rPr>
                <w:rFonts w:ascii="Calibri" w:hAnsi="Calibri"/>
                <w:b/>
                <w:bCs/>
                <w:sz w:val="18"/>
                <w:szCs w:val="18"/>
              </w:rPr>
              <w:t>/rok]</w:t>
            </w:r>
          </w:p>
        </w:tc>
        <w:tc>
          <w:tcPr>
            <w:tcW w:w="120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w:t>
            </w:r>
            <w:r>
              <w:rPr>
                <w:rFonts w:ascii="Calibri" w:hAnsi="Calibri"/>
                <w:b/>
                <w:bCs/>
                <w:sz w:val="18"/>
                <w:szCs w:val="18"/>
                <w:vertAlign w:val="superscript"/>
              </w:rPr>
              <w:t>3</w:t>
            </w:r>
            <w:r>
              <w:rPr>
                <w:rFonts w:ascii="Calibri" w:hAnsi="Calibri"/>
                <w:b/>
                <w:bCs/>
                <w:sz w:val="18"/>
                <w:szCs w:val="18"/>
              </w:rPr>
              <w:t>/rok]</w:t>
            </w:r>
          </w:p>
        </w:tc>
        <w:tc>
          <w:tcPr>
            <w:tcW w:w="96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w:t>
            </w:r>
            <w:r>
              <w:rPr>
                <w:rFonts w:ascii="Calibri" w:hAnsi="Calibri"/>
                <w:b/>
                <w:bCs/>
                <w:sz w:val="18"/>
                <w:szCs w:val="18"/>
                <w:vertAlign w:val="superscript"/>
              </w:rPr>
              <w:t>3</w:t>
            </w:r>
            <w:r>
              <w:rPr>
                <w:rFonts w:ascii="Calibri" w:hAnsi="Calibri"/>
                <w:b/>
                <w:bCs/>
                <w:sz w:val="18"/>
                <w:szCs w:val="18"/>
              </w:rPr>
              <w:t>/rok]</w:t>
            </w:r>
          </w:p>
        </w:tc>
        <w:tc>
          <w:tcPr>
            <w:tcW w:w="960" w:type="dxa"/>
            <w:tcBorders>
              <w:top w:val="nil"/>
              <w:left w:val="nil"/>
              <w:bottom w:val="nil"/>
              <w:right w:val="single" w:sz="4" w:space="0" w:color="auto"/>
            </w:tcBorders>
            <w:shd w:val="clear" w:color="000000" w:fill="BFBFBF"/>
            <w:noWrap/>
            <w:vAlign w:val="center"/>
          </w:tcPr>
          <w:p w:rsidR="00FB2534" w:rsidRDefault="00FB2534" w:rsidP="00556986">
            <w:pPr>
              <w:jc w:val="center"/>
              <w:rPr>
                <w:rFonts w:ascii="Calibri" w:hAnsi="Calibri"/>
                <w:b/>
                <w:bCs/>
                <w:sz w:val="18"/>
                <w:szCs w:val="18"/>
              </w:rPr>
            </w:pPr>
            <w:r>
              <w:rPr>
                <w:rFonts w:ascii="Calibri" w:hAnsi="Calibri"/>
                <w:b/>
                <w:bCs/>
                <w:sz w:val="18"/>
                <w:szCs w:val="18"/>
              </w:rPr>
              <w:t>[Mg/rok]</w:t>
            </w:r>
          </w:p>
        </w:tc>
      </w:tr>
      <w:tr w:rsidR="00FB2534" w:rsidTr="00556986">
        <w:trPr>
          <w:trHeight w:val="227"/>
          <w:jc w:val="center"/>
        </w:trPr>
        <w:tc>
          <w:tcPr>
            <w:tcW w:w="1420" w:type="dxa"/>
            <w:tcBorders>
              <w:top w:val="nil"/>
              <w:left w:val="single" w:sz="4" w:space="0" w:color="auto"/>
              <w:bottom w:val="single" w:sz="4" w:space="0" w:color="auto"/>
              <w:right w:val="single" w:sz="4" w:space="0" w:color="auto"/>
            </w:tcBorders>
            <w:noWrap/>
            <w:vAlign w:val="center"/>
          </w:tcPr>
          <w:p w:rsidR="00FB2534" w:rsidRDefault="00FB2534" w:rsidP="00556986">
            <w:pPr>
              <w:rPr>
                <w:rFonts w:ascii="Calibri" w:hAnsi="Calibri"/>
                <w:sz w:val="18"/>
                <w:szCs w:val="18"/>
              </w:rPr>
            </w:pPr>
            <w:r>
              <w:rPr>
                <w:rFonts w:ascii="Calibri" w:hAnsi="Calibri"/>
                <w:sz w:val="18"/>
                <w:szCs w:val="18"/>
              </w:rPr>
              <w:t>Gmina Malbork</w:t>
            </w:r>
          </w:p>
        </w:tc>
        <w:tc>
          <w:tcPr>
            <w:tcW w:w="96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188 700</w:t>
            </w:r>
          </w:p>
        </w:tc>
        <w:tc>
          <w:tcPr>
            <w:tcW w:w="128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187 400</w:t>
            </w:r>
          </w:p>
        </w:tc>
        <w:tc>
          <w:tcPr>
            <w:tcW w:w="90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6</w:t>
            </w:r>
          </w:p>
        </w:tc>
        <w:tc>
          <w:tcPr>
            <w:tcW w:w="120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32,9</w:t>
            </w:r>
          </w:p>
        </w:tc>
        <w:tc>
          <w:tcPr>
            <w:tcW w:w="96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1 730</w:t>
            </w:r>
          </w:p>
        </w:tc>
        <w:tc>
          <w:tcPr>
            <w:tcW w:w="960"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6 632</w:t>
            </w:r>
          </w:p>
        </w:tc>
      </w:tr>
    </w:tbl>
    <w:p w:rsidR="00FB2534" w:rsidRDefault="00FB2534" w:rsidP="007A7B69">
      <w:pPr>
        <w:pStyle w:val="GOMnormal"/>
      </w:pPr>
      <w:r>
        <w:t>Sektor budynków mieszkalnych plasuje się na drugim miejscu pod względem</w:t>
      </w:r>
      <w:r w:rsidRPr="00575B3D">
        <w:t xml:space="preserve"> emisji dwutlenku węgla </w:t>
      </w:r>
      <w:r>
        <w:t>w </w:t>
      </w:r>
      <w:r w:rsidRPr="00575B3D">
        <w:t xml:space="preserve">roku bazowym </w:t>
      </w:r>
      <w:r>
        <w:t>na terenie gminy</w:t>
      </w:r>
      <w:r w:rsidRPr="00575B3D">
        <w:t>.</w:t>
      </w:r>
      <w:r>
        <w:t xml:space="preserve"> Przy czym przeważającym źródłem jest zużycie paliw stałych (blisko 70%), następnie energii elektrycznej (ponad 21%). Udział emisji CO</w:t>
      </w:r>
      <w:r w:rsidRPr="00FE7EC0">
        <w:rPr>
          <w:vertAlign w:val="subscript"/>
        </w:rPr>
        <w:t>2</w:t>
      </w:r>
      <w:r>
        <w:t xml:space="preserve"> pochodzącej ze spalania drewna oraz gazu ziemnego jest niewielki – odpowiednio ok. 4% i 3%. Strukturę tą zobrazowano na kolejnym rysunku.</w:t>
      </w:r>
    </w:p>
    <w:p w:rsidR="00FB2534" w:rsidRDefault="00FB2534" w:rsidP="000D0A02">
      <w:pPr>
        <w:pStyle w:val="GOMnormal"/>
        <w:keepNext/>
        <w:jc w:val="center"/>
      </w:pPr>
      <w:r>
        <w:rPr>
          <w:noProof/>
        </w:rPr>
        <w:pict>
          <v:shape id="Wykres 20" o:spid="_x0000_i1040" type="#_x0000_t75" style="width:434.25pt;height:191.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">
            <v:imagedata r:id="rId29" o:title=""/>
            <o:lock v:ext="edit" aspectratio="f"/>
          </v:shape>
        </w:pict>
      </w:r>
    </w:p>
    <w:p w:rsidR="00FB2534" w:rsidRDefault="00FB2534" w:rsidP="000D0A02">
      <w:pPr>
        <w:pStyle w:val="GOMpodpistab"/>
      </w:pPr>
      <w:bookmarkStart w:id="171" w:name="_Toc416981937"/>
      <w:bookmarkStart w:id="172" w:name="_Toc422133283"/>
      <w:r>
        <w:t xml:space="preserve">Rysunek </w:t>
      </w:r>
      <w:r>
        <w:fldChar w:fldCharType="begin"/>
      </w:r>
      <w:r>
        <w:instrText xml:space="preserve"> SEQ Rysunek \* ARABIC </w:instrText>
      </w:r>
      <w:r>
        <w:fldChar w:fldCharType="separate"/>
      </w:r>
      <w:r>
        <w:rPr>
          <w:noProof/>
        </w:rPr>
        <w:t>10</w:t>
      </w:r>
      <w:r>
        <w:fldChar w:fldCharType="end"/>
      </w:r>
      <w:r>
        <w:t xml:space="preserve">. </w:t>
      </w:r>
      <w:r w:rsidRPr="005926BA">
        <w:t>Struktura emisji CO</w:t>
      </w:r>
      <w:r w:rsidRPr="00343EF8">
        <w:rPr>
          <w:vertAlign w:val="subscript"/>
        </w:rPr>
        <w:t>2</w:t>
      </w:r>
      <w:r>
        <w:t xml:space="preserve"> wynikającej ze zużycia</w:t>
      </w:r>
      <w:r w:rsidRPr="005926BA">
        <w:t xml:space="preserve"> energii elektrycznej, ciepl</w:t>
      </w:r>
      <w:r>
        <w:t>nej oraz poszczególnych paliw w </w:t>
      </w:r>
      <w:r w:rsidRPr="005926BA">
        <w:t xml:space="preserve">sektorze budynków </w:t>
      </w:r>
      <w:r>
        <w:t>mieszkalnych</w:t>
      </w:r>
      <w:bookmarkEnd w:id="171"/>
      <w:r>
        <w:rPr>
          <w:rStyle w:val="FootnoteReference"/>
        </w:rPr>
        <w:footnoteReference w:id="27"/>
      </w:r>
      <w:bookmarkEnd w:id="172"/>
    </w:p>
    <w:p w:rsidR="00FB2534" w:rsidRDefault="00FB2534" w:rsidP="007A7B69">
      <w:pPr>
        <w:pStyle w:val="GOMpowyr"/>
      </w:pPr>
      <w:r>
        <w:t>Sektor przemysłowy i energetyczny</w:t>
      </w:r>
    </w:p>
    <w:p w:rsidR="00FB2534" w:rsidRDefault="00FB2534" w:rsidP="007A7B69">
      <w:pPr>
        <w:pStyle w:val="GOMnormal"/>
      </w:pPr>
      <w:r>
        <w:t>Na podstawie zużycia poszczególnych rodzajów paliw, zgodnie z bazą danych systemu SOZAT, gdzie gromadzone są dane o opłatach za gospodarcze korzystanie ze środowiska, udostępnioną przez Urząd Marszałkowski Województwa Pomorskiego stwierdzono, że w Gminie Wiejskiej Malbork nie ma źródeł emisji CO</w:t>
      </w:r>
      <w:r w:rsidRPr="0015091C">
        <w:rPr>
          <w:vertAlign w:val="subscript"/>
        </w:rPr>
        <w:t>2</w:t>
      </w:r>
      <w:r>
        <w:t xml:space="preserve"> w sektorze przemysłowym i energetycznym. W bilansie w sektorze energetycznym pominięto jednostki objęte handlem emisjami.</w:t>
      </w:r>
    </w:p>
    <w:p w:rsidR="00FB2534" w:rsidRDefault="00FB2534" w:rsidP="007A7B69">
      <w:pPr>
        <w:pStyle w:val="GOMpowyr"/>
      </w:pPr>
      <w:r>
        <w:t>Handel i usługi</w:t>
      </w:r>
    </w:p>
    <w:p w:rsidR="00FB2534" w:rsidRDefault="00FB2534" w:rsidP="007A7B69">
      <w:pPr>
        <w:pStyle w:val="GOMnormal"/>
      </w:pPr>
      <w:r w:rsidRPr="00575B3D">
        <w:t xml:space="preserve">Emisja </w:t>
      </w:r>
      <w:r>
        <w:t>dwutlenku węgla z sektora handlu i usług</w:t>
      </w:r>
      <w:r w:rsidRPr="00575B3D">
        <w:t xml:space="preserve"> pochodzi z ogrzewania </w:t>
      </w:r>
      <w:r>
        <w:t>pomieszczeń</w:t>
      </w:r>
      <w:r w:rsidRPr="00575B3D">
        <w:t xml:space="preserve"> oraz zużycia energii elektrycznej. Wielkość emisji CO</w:t>
      </w:r>
      <w:r w:rsidRPr="00575B3D">
        <w:rPr>
          <w:vertAlign w:val="subscript"/>
        </w:rPr>
        <w:t>2eq</w:t>
      </w:r>
      <w:r w:rsidRPr="00575B3D">
        <w:t xml:space="preserve"> z tego sektora zależna jest od ilości zużytej ener</w:t>
      </w:r>
      <w:r>
        <w:t>gii elektrycznej oraz cieplnej</w:t>
      </w:r>
      <w:r w:rsidRPr="00575B3D">
        <w:t>.</w:t>
      </w:r>
      <w:r>
        <w:t xml:space="preserve"> Zużycie energii elektrycznej w gminie w roku bazowym 2013 określono na podstawie danych GUS. Zużycie poszczególnych paliw w sektorze handlu i usług określono na podstawie Założeń do planu zaopatrzenia w ciepło, energie elektryczną i paliwa gazowe gminy Malbork. Sektor ten plasuje się dopiero na 6 miejscu w gminie z uwagi na wielkość emisji CO</w:t>
      </w:r>
      <w:r w:rsidRPr="002D6678">
        <w:rPr>
          <w:vertAlign w:val="subscript"/>
        </w:rPr>
        <w:t>2</w:t>
      </w:r>
      <w:r>
        <w:t>. Przy czym dominującym źródłem emisji jest zużycie paliw stałych (blisko 77%). W następnej kolejności jest energia elektryczna (ok. 16%) oraz drewno (ponad 4%). Szczegółowo strukturę emisji CO2 z sektora handlu i usług pokazano na rysunku poniżej.</w:t>
      </w:r>
    </w:p>
    <w:p w:rsidR="00FB2534" w:rsidRDefault="00FB2534" w:rsidP="007A7B69">
      <w:pPr>
        <w:pStyle w:val="GOMnormal"/>
        <w:keepNext/>
      </w:pPr>
      <w:r>
        <w:rPr>
          <w:noProof/>
        </w:rPr>
        <w:pict>
          <v:shape id="Wykres 21" o:spid="_x0000_i1041" type="#_x0000_t75" style="width:434.25pt;height:176.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">
            <v:imagedata r:id="rId30" o:title="" cropbottom="-19f"/>
            <o:lock v:ext="edit" aspectratio="f"/>
          </v:shape>
        </w:pict>
      </w:r>
    </w:p>
    <w:p w:rsidR="00FB2534" w:rsidRDefault="00FB2534" w:rsidP="007439A1">
      <w:pPr>
        <w:pStyle w:val="GOMpodpistab"/>
      </w:pPr>
      <w:bookmarkStart w:id="173" w:name="_Toc416981938"/>
      <w:bookmarkStart w:id="174" w:name="_Toc422133284"/>
      <w:r>
        <w:t xml:space="preserve">Rysunek </w:t>
      </w:r>
      <w:r>
        <w:fldChar w:fldCharType="begin"/>
      </w:r>
      <w:r>
        <w:instrText xml:space="preserve"> SEQ Rysunek \* ARABIC </w:instrText>
      </w:r>
      <w:r>
        <w:fldChar w:fldCharType="separate"/>
      </w:r>
      <w:r>
        <w:rPr>
          <w:noProof/>
        </w:rPr>
        <w:t>11</w:t>
      </w:r>
      <w:r>
        <w:fldChar w:fldCharType="end"/>
      </w:r>
      <w:r>
        <w:t xml:space="preserve">. </w:t>
      </w:r>
      <w:r w:rsidRPr="009F4356">
        <w:t>Struktura emisji CO</w:t>
      </w:r>
      <w:r w:rsidRPr="00201A9B">
        <w:rPr>
          <w:vertAlign w:val="subscript"/>
        </w:rPr>
        <w:t>2</w:t>
      </w:r>
      <w:r w:rsidRPr="009F4356">
        <w:t xml:space="preserve"> wynikającej ze zużycia energii elektrycznej, cieplnej ora</w:t>
      </w:r>
      <w:r>
        <w:t>z poszczególnych paliw w </w:t>
      </w:r>
      <w:r w:rsidRPr="009F4356">
        <w:t xml:space="preserve">sektorze </w:t>
      </w:r>
      <w:r>
        <w:t>handlu i usług</w:t>
      </w:r>
      <w:bookmarkEnd w:id="173"/>
      <w:r>
        <w:rPr>
          <w:rStyle w:val="FootnoteReference"/>
        </w:rPr>
        <w:footnoteReference w:id="28"/>
      </w:r>
      <w:bookmarkEnd w:id="174"/>
    </w:p>
    <w:p w:rsidR="00FB2534" w:rsidRDefault="00FB2534" w:rsidP="007A7B69">
      <w:pPr>
        <w:pStyle w:val="GOMpowyr"/>
      </w:pPr>
      <w:r>
        <w:t>Budynki użyteczności publicznej</w:t>
      </w:r>
    </w:p>
    <w:p w:rsidR="00FB2534" w:rsidRDefault="00FB2534" w:rsidP="007A7B69">
      <w:pPr>
        <w:pStyle w:val="GOMnormal"/>
      </w:pPr>
      <w:r w:rsidRPr="00BC2160">
        <w:t xml:space="preserve">Zużycie energii elektrycznej w budynkach gminnych, miejskich za rok 2013 określono na podstawie ankietyzacji, danych od dostawców energii oraz danych GUS. Zużycie gazu ziemnego oraz innych nośników energii w budynkach gminnych za rok 2013 określono na podstawie danych udostępnionych </w:t>
      </w:r>
      <w:r>
        <w:t xml:space="preserve">przez </w:t>
      </w:r>
      <w:r w:rsidRPr="00BC2160">
        <w:t>dostawców, danych GUS</w:t>
      </w:r>
      <w:r>
        <w:t xml:space="preserve"> oraz</w:t>
      </w:r>
      <w:r w:rsidRPr="00BC2160">
        <w:t xml:space="preserve"> na podstawie </w:t>
      </w:r>
      <w:r>
        <w:t>Założeń do planu zaopatrzenia w ciepło, energie elektryczną i paliwa gazowe gminy Malbork</w:t>
      </w:r>
      <w:r w:rsidRPr="00BC2160">
        <w:t xml:space="preserve">. </w:t>
      </w:r>
    </w:p>
    <w:p w:rsidR="00FB2534" w:rsidRDefault="00FB2534" w:rsidP="007A7B69">
      <w:pPr>
        <w:pStyle w:val="GOMnormal"/>
      </w:pPr>
      <w:r>
        <w:t xml:space="preserve">W tym sektorze uwzględniono budynki położone na terenie gminy, takie jak: </w:t>
      </w:r>
    </w:p>
    <w:p w:rsidR="00FB2534" w:rsidRDefault="00FB2534" w:rsidP="00407562">
      <w:pPr>
        <w:pStyle w:val="GOMwypkt"/>
        <w:numPr>
          <w:ilvl w:val="0"/>
          <w:numId w:val="21"/>
        </w:numPr>
        <w:ind w:left="568" w:hanging="284"/>
      </w:pPr>
      <w:r>
        <w:t>budynki administracyjne urzędu,</w:t>
      </w:r>
    </w:p>
    <w:p w:rsidR="00FB2534" w:rsidRDefault="00FB2534" w:rsidP="00407562">
      <w:pPr>
        <w:pStyle w:val="GOMwypkt"/>
        <w:numPr>
          <w:ilvl w:val="0"/>
          <w:numId w:val="21"/>
        </w:numPr>
        <w:ind w:left="568" w:hanging="284"/>
      </w:pPr>
      <w:r>
        <w:t>szkoły, ośrodki,</w:t>
      </w:r>
    </w:p>
    <w:p w:rsidR="00FB2534" w:rsidRDefault="00FB2534" w:rsidP="00407562">
      <w:pPr>
        <w:pStyle w:val="GOMwypkt"/>
        <w:numPr>
          <w:ilvl w:val="0"/>
          <w:numId w:val="21"/>
        </w:numPr>
        <w:ind w:left="568" w:hanging="284"/>
      </w:pPr>
      <w:r>
        <w:t>obiekty sportowo-rekreacyjne.</w:t>
      </w:r>
    </w:p>
    <w:p w:rsidR="00FB2534" w:rsidRDefault="00FB2534" w:rsidP="003E11BA">
      <w:pPr>
        <w:pStyle w:val="GOMnormal"/>
      </w:pPr>
      <w:r w:rsidRPr="00DA6DB9">
        <w:t>Z uwagi na fakt, że nie uzyskano informacji w formie szczegółowych ankiet z</w:t>
      </w:r>
      <w:r>
        <w:t xml:space="preserve"> </w:t>
      </w:r>
      <w:r w:rsidRPr="00DA6DB9">
        <w:t>budynków użyteczności publicznej</w:t>
      </w:r>
      <w:r>
        <w:t>,</w:t>
      </w:r>
      <w:r w:rsidRPr="00DA6DB9">
        <w:t xml:space="preserve"> </w:t>
      </w:r>
      <w:r>
        <w:t xml:space="preserve">w Gminie Wiejskiej Malbork </w:t>
      </w:r>
      <w:r w:rsidRPr="00DA6DB9">
        <w:t>do obliczeń wielkości emisji poszczególnych zanieczyszczeń powietrza przyjęto dan</w:t>
      </w:r>
      <w:r>
        <w:t xml:space="preserve">e z planu zaopatrzenia w ciepło </w:t>
      </w:r>
      <w:r w:rsidRPr="00DA6DB9">
        <w:t>w przypadku oleju opałowego i paliw stałych (np. węgiel)</w:t>
      </w:r>
      <w:r>
        <w:t>.</w:t>
      </w:r>
    </w:p>
    <w:p w:rsidR="00FB2534" w:rsidRDefault="00FB2534" w:rsidP="007A7B69">
      <w:pPr>
        <w:pStyle w:val="GOMnormal"/>
      </w:pPr>
      <w:r>
        <w:t>Budynki użyteczności publicznej znajdują się na 4 miejscu najważniejszych źródeł emitujących CO</w:t>
      </w:r>
      <w:r w:rsidRPr="00345D84">
        <w:rPr>
          <w:vertAlign w:val="subscript"/>
        </w:rPr>
        <w:t>2</w:t>
      </w:r>
      <w:r>
        <w:t>. Również w tym sektorze za wielkość emisji odpowiada w największym stopniu zużycie paliw stałych (ok. 78%), na kolejnym miejscu jest olej opałowy (blisko 16%) i energia elektryczna (blisko 7%). Dokładnie strukturę odpowiedzialności za wielkość emisji CO</w:t>
      </w:r>
      <w:r w:rsidRPr="00FD2197">
        <w:rPr>
          <w:vertAlign w:val="subscript"/>
        </w:rPr>
        <w:t>2</w:t>
      </w:r>
      <w:r>
        <w:t xml:space="preserve"> z budynków użyteczności publicznej pokazano na rysunku poniżej.</w:t>
      </w:r>
    </w:p>
    <w:p w:rsidR="00FB2534" w:rsidRDefault="00FB2534" w:rsidP="007A7B69">
      <w:pPr>
        <w:pStyle w:val="GOMnormal"/>
        <w:keepNext/>
      </w:pPr>
      <w:r>
        <w:rPr>
          <w:noProof/>
        </w:rPr>
        <w:pict>
          <v:shape id="Wykres 22" o:spid="_x0000_i1042" type="#_x0000_t75" style="width:434.25pt;height:176.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">
            <v:imagedata r:id="rId31" o:title="" cropbottom="-37f"/>
            <o:lock v:ext="edit" aspectratio="f"/>
          </v:shape>
        </w:pict>
      </w:r>
    </w:p>
    <w:p w:rsidR="00FB2534" w:rsidRDefault="00FB2534" w:rsidP="007439A1">
      <w:pPr>
        <w:pStyle w:val="GOMpodpistab"/>
      </w:pPr>
      <w:bookmarkStart w:id="175" w:name="_Toc416981939"/>
      <w:bookmarkStart w:id="176" w:name="_Toc422133285"/>
      <w:r>
        <w:t xml:space="preserve">Rysunek </w:t>
      </w:r>
      <w:r>
        <w:fldChar w:fldCharType="begin"/>
      </w:r>
      <w:r>
        <w:instrText xml:space="preserve"> SEQ Rysunek \* ARABIC </w:instrText>
      </w:r>
      <w:r>
        <w:fldChar w:fldCharType="separate"/>
      </w:r>
      <w:r>
        <w:rPr>
          <w:noProof/>
        </w:rPr>
        <w:t>12</w:t>
      </w:r>
      <w:r>
        <w:fldChar w:fldCharType="end"/>
      </w:r>
      <w:r>
        <w:t>. Struktura emisji CO</w:t>
      </w:r>
      <w:r w:rsidRPr="00E20824">
        <w:rPr>
          <w:vertAlign w:val="subscript"/>
        </w:rPr>
        <w:t>2</w:t>
      </w:r>
      <w:r>
        <w:t xml:space="preserve"> wynikającej ze zużycia energii elektrycznej, cieplnej oraz poszczególnych paliw w sektorze budynków użyteczności publicznej</w:t>
      </w:r>
      <w:bookmarkEnd w:id="175"/>
      <w:r>
        <w:rPr>
          <w:rStyle w:val="FootnoteReference"/>
        </w:rPr>
        <w:footnoteReference w:id="29"/>
      </w:r>
      <w:bookmarkEnd w:id="176"/>
    </w:p>
    <w:p w:rsidR="00FB2534" w:rsidRPr="007D2AB8" w:rsidRDefault="00FB2534" w:rsidP="003E11BA">
      <w:pPr>
        <w:pStyle w:val="GOMpowyr"/>
      </w:pPr>
      <w:r w:rsidRPr="002E1FBC">
        <w:t>Oświetlenie ulic</w:t>
      </w:r>
    </w:p>
    <w:p w:rsidR="00FB2534" w:rsidRDefault="00FB2534" w:rsidP="003E11BA">
      <w:pPr>
        <w:pStyle w:val="GOMnormal"/>
      </w:pPr>
      <w:r>
        <w:t>Dane dotyczące oświetlenia ulicznego były zbierane w oparciu o ankiety wysyłane do gmin oraz właścicieli lamp ulicznych</w:t>
      </w:r>
      <w:r w:rsidRPr="003E11BA">
        <w:t xml:space="preserve">. Z uwagi na brak danych z terenu gminy </w:t>
      </w:r>
      <w:r>
        <w:t>Malbork</w:t>
      </w:r>
      <w:r w:rsidRPr="003E11BA">
        <w:t>, wielkość zużycia energii elektrycznej na oświetlenie  ulic została oszacowana.</w:t>
      </w:r>
      <w:r>
        <w:t xml:space="preserve"> Na podstawie danych o zużyciu energii elektrycznej obliczono wielkość emisji dwutlenku węgla, jaka generowana jest przez sektor oświetlenia. </w:t>
      </w:r>
    </w:p>
    <w:p w:rsidR="00FB2534" w:rsidRDefault="00FB2534" w:rsidP="007A7B69">
      <w:pPr>
        <w:pStyle w:val="GOMwyr"/>
      </w:pPr>
      <w:r>
        <w:t>Sektory fakultatywne - rolnictwo, leśnictwo i gospodarka odpadami</w:t>
      </w:r>
    </w:p>
    <w:p w:rsidR="00FB2534" w:rsidRDefault="00FB2534" w:rsidP="007A7B69">
      <w:pPr>
        <w:pStyle w:val="GOMnormal"/>
      </w:pPr>
      <w:r>
        <w:t xml:space="preserve">W granicach administracyjnych Gminy Wiejskiej Malbork znajduje się </w:t>
      </w:r>
      <w:smartTag w:uri="urn:schemas-microsoft-com:office:smarttags" w:element="metricconverter">
        <w:smartTagPr>
          <w:attr w:name="ProductID" w:val="78,9388 ha"/>
        </w:smartTagPr>
        <w:r>
          <w:t>78,9388 ha</w:t>
        </w:r>
      </w:smartTag>
      <w:r>
        <w:t xml:space="preserve"> lasów. Drzewa na terenach leśnych pochłaniają dwutlenek węgla, a jednocześnie z terenów leśnych emitowane są inne gazy cieplarniane: metan i podtlenek azotu.</w:t>
      </w:r>
    </w:p>
    <w:p w:rsidR="00FB2534" w:rsidRDefault="00FB2534" w:rsidP="007A7B69">
      <w:pPr>
        <w:pStyle w:val="GOMnormal"/>
      </w:pPr>
      <w:r>
        <w:t>Emisję gazów cieplarnianych z sektora rolnictwa na terenie Gminy Wiejskiej Malbork obliczono na podstawie danych zaczerpniętych z GUS, a dotyczących powierzchni upraw, ilości zużywanych nawozów azotowych, pogłowia zwierząt hodowlanych. Dane te zestawiono w tabeli poniżej.</w:t>
      </w:r>
    </w:p>
    <w:p w:rsidR="00FB2534" w:rsidRDefault="00FB2534" w:rsidP="007A7B69">
      <w:pPr>
        <w:pStyle w:val="GOMpodpistab"/>
      </w:pPr>
      <w:bookmarkStart w:id="177" w:name="_Toc416981921"/>
      <w:bookmarkStart w:id="178" w:name="_Toc422135108"/>
      <w:r>
        <w:t xml:space="preserve">Tabela </w:t>
      </w:r>
      <w:r>
        <w:fldChar w:fldCharType="begin"/>
      </w:r>
      <w:r>
        <w:instrText xml:space="preserve"> SEQ Tabela \* ARABIC </w:instrText>
      </w:r>
      <w:r>
        <w:fldChar w:fldCharType="separate"/>
      </w:r>
      <w:r>
        <w:rPr>
          <w:noProof/>
        </w:rPr>
        <w:t>15</w:t>
      </w:r>
      <w:r>
        <w:fldChar w:fldCharType="end"/>
      </w:r>
      <w:r>
        <w:t>. Dane o powierzchni upraw, hodowli zwierząt oraz emisji gazów cieplarnianych z sektora rolnictwa</w:t>
      </w:r>
      <w:bookmarkEnd w:id="177"/>
      <w:r>
        <w:rPr>
          <w:rStyle w:val="FootnoteReference"/>
        </w:rPr>
        <w:footnoteReference w:id="30"/>
      </w:r>
      <w:bookmarkEnd w:id="178"/>
    </w:p>
    <w:tbl>
      <w:tblPr>
        <w:tblW w:w="5000" w:type="pct"/>
        <w:jc w:val="center"/>
        <w:tblCellMar>
          <w:top w:w="28" w:type="dxa"/>
          <w:left w:w="70" w:type="dxa"/>
          <w:bottom w:w="28" w:type="dxa"/>
          <w:right w:w="70" w:type="dxa"/>
        </w:tblCellMar>
        <w:tblLook w:val="00A0" w:firstRow="1" w:lastRow="0" w:firstColumn="1" w:lastColumn="0" w:noHBand="0" w:noVBand="0"/>
      </w:tblPr>
      <w:tblGrid>
        <w:gridCol w:w="2897"/>
        <w:gridCol w:w="2987"/>
        <w:gridCol w:w="1276"/>
        <w:gridCol w:w="1649"/>
      </w:tblGrid>
      <w:tr w:rsidR="00FB2534" w:rsidRPr="00420884" w:rsidTr="00556986">
        <w:trPr>
          <w:cantSplit/>
          <w:trHeight w:val="240"/>
          <w:jc w:val="center"/>
        </w:trPr>
        <w:tc>
          <w:tcPr>
            <w:tcW w:w="2896"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Powierzchnia upraw i innych terenów wykorzystywanych rolniczo</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powierzchnia pod zasiewami</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[ha]</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7 382,30</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powierzchnia łąk</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[ha]</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228,52</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powierzchnia pastwisk</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[ha]</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138,05</w:t>
            </w:r>
          </w:p>
        </w:tc>
      </w:tr>
      <w:tr w:rsidR="00FB2534" w:rsidRPr="00420884" w:rsidTr="00556986">
        <w:trPr>
          <w:cantSplit/>
          <w:trHeight w:val="240"/>
          <w:jc w:val="center"/>
        </w:trPr>
        <w:tc>
          <w:tcPr>
            <w:tcW w:w="2896" w:type="dxa"/>
            <w:tcBorders>
              <w:top w:val="single" w:sz="4" w:space="0" w:color="auto"/>
              <w:left w:val="single" w:sz="4" w:space="0" w:color="auto"/>
              <w:bottom w:val="single" w:sz="4" w:space="0" w:color="auto"/>
              <w:right w:val="nil"/>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ilość ciągników</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 </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[szt.]</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w:t>
            </w:r>
          </w:p>
        </w:tc>
      </w:tr>
      <w:tr w:rsidR="00FB2534" w:rsidRPr="00420884" w:rsidTr="00556986">
        <w:trPr>
          <w:cantSplit/>
          <w:trHeight w:val="240"/>
          <w:jc w:val="center"/>
        </w:trPr>
        <w:tc>
          <w:tcPr>
            <w:tcW w:w="2896" w:type="dxa"/>
            <w:tcBorders>
              <w:top w:val="single" w:sz="4" w:space="0" w:color="auto"/>
              <w:left w:val="single" w:sz="4" w:space="0" w:color="auto"/>
              <w:bottom w:val="single" w:sz="4" w:space="0" w:color="auto"/>
              <w:right w:val="nil"/>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zużycie nawozów azotowych</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 </w:t>
            </w:r>
          </w:p>
        </w:tc>
        <w:tc>
          <w:tcPr>
            <w:tcW w:w="1276" w:type="dxa"/>
            <w:tcBorders>
              <w:top w:val="single" w:sz="4" w:space="0" w:color="auto"/>
              <w:left w:val="single" w:sz="4" w:space="0" w:color="auto"/>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638,91</w:t>
            </w:r>
          </w:p>
        </w:tc>
      </w:tr>
      <w:tr w:rsidR="00FB2534" w:rsidRPr="00420884" w:rsidTr="00556986">
        <w:trPr>
          <w:cantSplit/>
          <w:trHeight w:val="240"/>
          <w:jc w:val="center"/>
        </w:trPr>
        <w:tc>
          <w:tcPr>
            <w:tcW w:w="2896"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suma emisji z terenów wykorzystywanych rolniczo</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N</w:t>
            </w:r>
            <w:r w:rsidRPr="00300EE0">
              <w:rPr>
                <w:rFonts w:ascii="Calibri" w:hAnsi="Calibri"/>
                <w:b/>
                <w:bCs/>
                <w:color w:val="000000"/>
                <w:sz w:val="18"/>
                <w:szCs w:val="18"/>
                <w:vertAlign w:val="subscript"/>
              </w:rPr>
              <w:t>2</w:t>
            </w:r>
            <w:r w:rsidRPr="00420884">
              <w:rPr>
                <w:rFonts w:ascii="Calibri" w:hAnsi="Calibri"/>
                <w:b/>
                <w:bCs/>
                <w:color w:val="000000"/>
                <w:sz w:val="18"/>
                <w:szCs w:val="18"/>
              </w:rPr>
              <w:t>O</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0,91</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CO</w:t>
            </w:r>
            <w:r w:rsidRPr="00300EE0">
              <w:rPr>
                <w:rFonts w:ascii="Calibri" w:hAnsi="Calibri"/>
                <w:b/>
                <w:bCs/>
                <w:color w:val="000000"/>
                <w:sz w:val="18"/>
                <w:szCs w:val="18"/>
                <w:vertAlign w:val="subscript"/>
              </w:rPr>
              <w:t>2(eq)</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282,06</w:t>
            </w:r>
          </w:p>
        </w:tc>
      </w:tr>
      <w:tr w:rsidR="00FB2534" w:rsidRPr="00420884" w:rsidTr="00556986">
        <w:trPr>
          <w:cantSplit/>
          <w:trHeight w:val="240"/>
          <w:jc w:val="center"/>
        </w:trPr>
        <w:tc>
          <w:tcPr>
            <w:tcW w:w="2896"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Chów i hodowla zwierząt (pogłowie)</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bydło</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1 240</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jc w:val="right"/>
              <w:rPr>
                <w:rFonts w:ascii="Calibri" w:hAnsi="Calibri"/>
                <w:b/>
                <w:bCs/>
                <w:color w:val="000000"/>
                <w:sz w:val="18"/>
                <w:szCs w:val="18"/>
              </w:rPr>
            </w:pPr>
            <w:r>
              <w:rPr>
                <w:rFonts w:ascii="Calibri" w:hAnsi="Calibri"/>
                <w:b/>
                <w:bCs/>
                <w:color w:val="000000"/>
                <w:sz w:val="18"/>
                <w:szCs w:val="18"/>
              </w:rPr>
              <w:t xml:space="preserve">w tym </w:t>
            </w:r>
            <w:r w:rsidRPr="00420884">
              <w:rPr>
                <w:rFonts w:ascii="Calibri" w:hAnsi="Calibri"/>
                <w:b/>
                <w:bCs/>
                <w:color w:val="000000"/>
                <w:sz w:val="18"/>
                <w:szCs w:val="18"/>
              </w:rPr>
              <w:t>krowy</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576</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trzoda chlewna</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870</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jc w:val="right"/>
              <w:rPr>
                <w:rFonts w:ascii="Calibri" w:hAnsi="Calibri"/>
                <w:b/>
                <w:bCs/>
                <w:color w:val="000000"/>
                <w:sz w:val="18"/>
                <w:szCs w:val="18"/>
              </w:rPr>
            </w:pPr>
            <w:r>
              <w:rPr>
                <w:rFonts w:ascii="Calibri" w:hAnsi="Calibri"/>
                <w:b/>
                <w:bCs/>
                <w:color w:val="000000"/>
                <w:sz w:val="18"/>
                <w:szCs w:val="18"/>
              </w:rPr>
              <w:t xml:space="preserve">w tym </w:t>
            </w:r>
            <w:r w:rsidRPr="00420884">
              <w:rPr>
                <w:rFonts w:ascii="Calibri" w:hAnsi="Calibri"/>
                <w:b/>
                <w:bCs/>
                <w:color w:val="000000"/>
                <w:sz w:val="18"/>
                <w:szCs w:val="18"/>
              </w:rPr>
              <w:t>lochy</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konie</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11</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drób</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[zwierz./rok]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6 389</w:t>
            </w:r>
          </w:p>
        </w:tc>
      </w:tr>
      <w:tr w:rsidR="00FB2534" w:rsidRPr="00420884" w:rsidTr="00556986">
        <w:trPr>
          <w:cantSplit/>
          <w:trHeight w:val="240"/>
          <w:jc w:val="center"/>
        </w:trPr>
        <w:tc>
          <w:tcPr>
            <w:tcW w:w="2896"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suma emisji z hodowli zwierząt</w:t>
            </w: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CH</w:t>
            </w:r>
            <w:r w:rsidRPr="00300EE0">
              <w:rPr>
                <w:rFonts w:ascii="Calibri" w:hAnsi="Calibri"/>
                <w:b/>
                <w:bCs/>
                <w:color w:val="000000"/>
                <w:sz w:val="18"/>
                <w:szCs w:val="18"/>
                <w:vertAlign w:val="subscript"/>
              </w:rPr>
              <w:t>4</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105,579</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N</w:t>
            </w:r>
            <w:r w:rsidRPr="00300EE0">
              <w:rPr>
                <w:rFonts w:ascii="Calibri" w:hAnsi="Calibri"/>
                <w:b/>
                <w:bCs/>
                <w:color w:val="000000"/>
                <w:sz w:val="18"/>
                <w:szCs w:val="18"/>
                <w:vertAlign w:val="subscript"/>
              </w:rPr>
              <w:t>2</w:t>
            </w:r>
            <w:r w:rsidRPr="00420884">
              <w:rPr>
                <w:rFonts w:ascii="Calibri" w:hAnsi="Calibri"/>
                <w:b/>
                <w:bCs/>
                <w:color w:val="000000"/>
                <w:sz w:val="18"/>
                <w:szCs w:val="18"/>
              </w:rPr>
              <w:t>O</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0,839</w:t>
            </w:r>
          </w:p>
        </w:tc>
      </w:tr>
      <w:tr w:rsidR="00FB2534" w:rsidRPr="00420884" w:rsidTr="00556986">
        <w:trPr>
          <w:cantSplit/>
          <w:trHeight w:val="240"/>
          <w:jc w:val="center"/>
        </w:trPr>
        <w:tc>
          <w:tcPr>
            <w:tcW w:w="2896" w:type="dxa"/>
            <w:vMerge/>
            <w:tcBorders>
              <w:top w:val="single" w:sz="4" w:space="0" w:color="auto"/>
              <w:left w:val="single" w:sz="4" w:space="0" w:color="auto"/>
              <w:bottom w:val="single" w:sz="4" w:space="0" w:color="auto"/>
              <w:right w:val="single" w:sz="4" w:space="0" w:color="auto"/>
            </w:tcBorders>
            <w:vAlign w:val="center"/>
          </w:tcPr>
          <w:p w:rsidR="00FB2534" w:rsidRPr="00420884" w:rsidRDefault="00FB2534" w:rsidP="00556986">
            <w:pPr>
              <w:rPr>
                <w:rFonts w:ascii="Calibri" w:hAnsi="Calibri"/>
                <w:b/>
                <w:bCs/>
                <w:color w:val="000000"/>
                <w:sz w:val="18"/>
                <w:szCs w:val="18"/>
              </w:rPr>
            </w:pPr>
          </w:p>
        </w:tc>
        <w:tc>
          <w:tcPr>
            <w:tcW w:w="298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CO</w:t>
            </w:r>
            <w:r w:rsidRPr="00300EE0">
              <w:rPr>
                <w:rFonts w:ascii="Calibri" w:hAnsi="Calibri"/>
                <w:b/>
                <w:bCs/>
                <w:color w:val="000000"/>
                <w:sz w:val="18"/>
                <w:szCs w:val="18"/>
                <w:vertAlign w:val="subscript"/>
              </w:rPr>
              <w:t>2(eq)</w:t>
            </w:r>
          </w:p>
        </w:tc>
        <w:tc>
          <w:tcPr>
            <w:tcW w:w="1276" w:type="dxa"/>
            <w:tcBorders>
              <w:top w:val="single" w:sz="4" w:space="0" w:color="auto"/>
              <w:left w:val="nil"/>
              <w:bottom w:val="single" w:sz="4" w:space="0" w:color="auto"/>
              <w:right w:val="single" w:sz="4" w:space="0" w:color="auto"/>
            </w:tcBorders>
            <w:shd w:val="clear" w:color="000000" w:fill="BFBFBF"/>
            <w:noWrap/>
            <w:vAlign w:val="center"/>
          </w:tcPr>
          <w:p w:rsidR="00FB2534" w:rsidRPr="00420884" w:rsidRDefault="00FB2534" w:rsidP="00556986">
            <w:pPr>
              <w:rPr>
                <w:rFonts w:ascii="Calibri" w:hAnsi="Calibri"/>
                <w:b/>
                <w:bCs/>
                <w:color w:val="000000"/>
                <w:sz w:val="18"/>
                <w:szCs w:val="18"/>
              </w:rPr>
            </w:pPr>
            <w:r w:rsidRPr="00420884">
              <w:rPr>
                <w:rFonts w:ascii="Calibri" w:hAnsi="Calibri"/>
                <w:b/>
                <w:bCs/>
                <w:color w:val="000000"/>
                <w:sz w:val="18"/>
                <w:szCs w:val="18"/>
              </w:rPr>
              <w:t>[Mg/rok]</w:t>
            </w:r>
          </w:p>
        </w:tc>
        <w:tc>
          <w:tcPr>
            <w:tcW w:w="1648" w:type="dxa"/>
            <w:tcBorders>
              <w:top w:val="single" w:sz="4" w:space="0" w:color="auto"/>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2 477,359</w:t>
            </w:r>
          </w:p>
        </w:tc>
      </w:tr>
    </w:tbl>
    <w:p w:rsidR="00FB2534" w:rsidRDefault="00FB2534" w:rsidP="007A7B69">
      <w:pPr>
        <w:pStyle w:val="GOMnormal"/>
      </w:pPr>
      <w:r>
        <w:t>Dane o gospodarce odpadami na terenie gminy pozyskano z danych GUS oraz ze sprawozdań o ilości zebranych w gminie odpadów komunalnych i sposobie ich zagospodarowania kierowanych do Marszałka Województwa. Ze względu na emisję gazów cieplarnianych istotne są informacje o strumieniu odpadów unieszkodliwionych termicznie oraz poprzez składowanie na składowiskach. Dane te, dotyczące terenu Gminy Wiejskiej Malbork zestawiono w tabeli poniżej.</w:t>
      </w:r>
    </w:p>
    <w:p w:rsidR="00FB2534" w:rsidRDefault="00FB2534" w:rsidP="007A7B69">
      <w:pPr>
        <w:pStyle w:val="GOMpodpistab"/>
      </w:pPr>
      <w:bookmarkStart w:id="179" w:name="_Toc416981922"/>
      <w:bookmarkStart w:id="180" w:name="_Toc422135109"/>
      <w:r>
        <w:t xml:space="preserve">Tabela </w:t>
      </w:r>
      <w:r>
        <w:fldChar w:fldCharType="begin"/>
      </w:r>
      <w:r>
        <w:instrText xml:space="preserve"> SEQ Tabela \* ARABIC </w:instrText>
      </w:r>
      <w:r>
        <w:fldChar w:fldCharType="separate"/>
      </w:r>
      <w:r>
        <w:rPr>
          <w:noProof/>
        </w:rPr>
        <w:t>16</w:t>
      </w:r>
      <w:r>
        <w:fldChar w:fldCharType="end"/>
      </w:r>
      <w:r>
        <w:t>. Masa odpadów z terenu Gminy Wiejskiej Malbork</w:t>
      </w:r>
      <w:r w:rsidRPr="00F93431">
        <w:t xml:space="preserve"> </w:t>
      </w:r>
      <w:r>
        <w:t>unieszkodliwionych termicznie lub poprzez składowanie na składowiskach w roku bazowym 2013</w:t>
      </w:r>
      <w:bookmarkEnd w:id="179"/>
      <w:r>
        <w:rPr>
          <w:rStyle w:val="FootnoteReference"/>
        </w:rPr>
        <w:footnoteReference w:id="31"/>
      </w:r>
      <w:bookmarkEnd w:id="180"/>
    </w:p>
    <w:tbl>
      <w:tblPr>
        <w:tblW w:w="5000" w:type="pct"/>
        <w:jc w:val="center"/>
        <w:tblCellMar>
          <w:top w:w="28" w:type="dxa"/>
          <w:left w:w="70" w:type="dxa"/>
          <w:bottom w:w="28" w:type="dxa"/>
          <w:right w:w="70" w:type="dxa"/>
        </w:tblCellMar>
        <w:tblLook w:val="00A0" w:firstRow="1" w:lastRow="0" w:firstColumn="1" w:lastColumn="0" w:noHBand="0" w:noVBand="0"/>
      </w:tblPr>
      <w:tblGrid>
        <w:gridCol w:w="3029"/>
        <w:gridCol w:w="2890"/>
        <w:gridCol w:w="2890"/>
      </w:tblGrid>
      <w:tr w:rsidR="00FB2534" w:rsidRPr="00297C52" w:rsidTr="00556986">
        <w:trPr>
          <w:cantSplit/>
          <w:trHeight w:val="227"/>
          <w:tblHeader/>
          <w:jc w:val="center"/>
        </w:trPr>
        <w:tc>
          <w:tcPr>
            <w:tcW w:w="3028"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tcPr>
          <w:p w:rsidR="00FB2534" w:rsidRPr="00297C52" w:rsidRDefault="00FB2534" w:rsidP="00556986">
            <w:pPr>
              <w:jc w:val="center"/>
              <w:rPr>
                <w:rFonts w:ascii="Calibri" w:hAnsi="Calibri"/>
                <w:b/>
                <w:bCs/>
                <w:color w:val="000000"/>
                <w:sz w:val="18"/>
                <w:szCs w:val="18"/>
              </w:rPr>
            </w:pPr>
            <w:r w:rsidRPr="00297C52">
              <w:rPr>
                <w:rFonts w:ascii="Calibri" w:hAnsi="Calibri"/>
                <w:b/>
                <w:bCs/>
                <w:color w:val="000000"/>
                <w:sz w:val="18"/>
                <w:szCs w:val="18"/>
              </w:rPr>
              <w:t>rodzaj odpadów zebranych w ciągu roku</w:t>
            </w:r>
          </w:p>
        </w:tc>
        <w:tc>
          <w:tcPr>
            <w:tcW w:w="5778" w:type="dxa"/>
            <w:gridSpan w:val="2"/>
            <w:tcBorders>
              <w:top w:val="single" w:sz="4" w:space="0" w:color="auto"/>
              <w:left w:val="nil"/>
              <w:bottom w:val="single" w:sz="4" w:space="0" w:color="auto"/>
              <w:right w:val="single" w:sz="4" w:space="0" w:color="auto"/>
            </w:tcBorders>
            <w:shd w:val="clear" w:color="000000" w:fill="BFBFBF"/>
            <w:noWrap/>
            <w:vAlign w:val="center"/>
          </w:tcPr>
          <w:p w:rsidR="00FB2534" w:rsidRPr="00297C52" w:rsidRDefault="00FB2534" w:rsidP="00556986">
            <w:pPr>
              <w:jc w:val="center"/>
              <w:rPr>
                <w:rFonts w:ascii="Calibri" w:hAnsi="Calibri"/>
                <w:b/>
                <w:bCs/>
                <w:color w:val="000000"/>
                <w:sz w:val="18"/>
                <w:szCs w:val="18"/>
              </w:rPr>
            </w:pPr>
            <w:r w:rsidRPr="00297C52">
              <w:rPr>
                <w:rFonts w:ascii="Calibri" w:hAnsi="Calibri"/>
                <w:b/>
                <w:bCs/>
                <w:color w:val="000000"/>
                <w:sz w:val="18"/>
                <w:szCs w:val="18"/>
              </w:rPr>
              <w:t>sposób unieszkodliwienia odpadów</w:t>
            </w:r>
          </w:p>
        </w:tc>
      </w:tr>
      <w:tr w:rsidR="00FB2534" w:rsidRPr="00297C52" w:rsidTr="00556986">
        <w:trPr>
          <w:cantSplit/>
          <w:trHeight w:val="227"/>
          <w:tblHeader/>
          <w:jc w:val="center"/>
        </w:trPr>
        <w:tc>
          <w:tcPr>
            <w:tcW w:w="3028" w:type="dxa"/>
            <w:vMerge/>
            <w:tcBorders>
              <w:top w:val="single" w:sz="4" w:space="0" w:color="auto"/>
              <w:left w:val="single" w:sz="4" w:space="0" w:color="auto"/>
              <w:bottom w:val="single" w:sz="4" w:space="0" w:color="000000"/>
              <w:right w:val="single" w:sz="4" w:space="0" w:color="auto"/>
            </w:tcBorders>
            <w:vAlign w:val="center"/>
          </w:tcPr>
          <w:p w:rsidR="00FB2534" w:rsidRPr="00297C52" w:rsidRDefault="00FB2534" w:rsidP="00556986">
            <w:pPr>
              <w:rPr>
                <w:rFonts w:ascii="Calibri" w:hAnsi="Calibri"/>
                <w:b/>
                <w:bCs/>
                <w:color w:val="000000"/>
                <w:sz w:val="18"/>
                <w:szCs w:val="18"/>
              </w:rPr>
            </w:pPr>
          </w:p>
        </w:tc>
        <w:tc>
          <w:tcPr>
            <w:tcW w:w="2889" w:type="dxa"/>
            <w:tcBorders>
              <w:top w:val="nil"/>
              <w:left w:val="nil"/>
              <w:bottom w:val="single" w:sz="4" w:space="0" w:color="auto"/>
              <w:right w:val="single" w:sz="4" w:space="0" w:color="auto"/>
            </w:tcBorders>
            <w:shd w:val="clear" w:color="000000" w:fill="BFBFBF"/>
            <w:vAlign w:val="center"/>
          </w:tcPr>
          <w:p w:rsidR="00FB2534" w:rsidRPr="00297C52" w:rsidRDefault="00FB2534" w:rsidP="00556986">
            <w:pPr>
              <w:jc w:val="center"/>
              <w:rPr>
                <w:rFonts w:ascii="Calibri" w:hAnsi="Calibri"/>
                <w:b/>
                <w:bCs/>
                <w:color w:val="000000"/>
                <w:sz w:val="18"/>
                <w:szCs w:val="18"/>
              </w:rPr>
            </w:pPr>
            <w:r w:rsidRPr="00297C52">
              <w:rPr>
                <w:rFonts w:ascii="Calibri" w:hAnsi="Calibri"/>
                <w:b/>
                <w:bCs/>
                <w:color w:val="000000"/>
                <w:sz w:val="18"/>
                <w:szCs w:val="18"/>
              </w:rPr>
              <w:t>składowane na składowiskach</w:t>
            </w:r>
            <w:r>
              <w:rPr>
                <w:rFonts w:ascii="Calibri" w:hAnsi="Calibri"/>
                <w:b/>
                <w:bCs/>
                <w:color w:val="000000"/>
                <w:sz w:val="18"/>
                <w:szCs w:val="18"/>
              </w:rPr>
              <w:t xml:space="preserve"> [Mg/rok]</w:t>
            </w:r>
          </w:p>
        </w:tc>
        <w:tc>
          <w:tcPr>
            <w:tcW w:w="2889" w:type="dxa"/>
            <w:tcBorders>
              <w:top w:val="nil"/>
              <w:left w:val="nil"/>
              <w:bottom w:val="single" w:sz="4" w:space="0" w:color="auto"/>
              <w:right w:val="single" w:sz="4" w:space="0" w:color="auto"/>
            </w:tcBorders>
            <w:shd w:val="clear" w:color="000000" w:fill="BFBFBF"/>
            <w:vAlign w:val="center"/>
          </w:tcPr>
          <w:p w:rsidR="00FB2534" w:rsidRPr="00297C52" w:rsidRDefault="00FB2534" w:rsidP="00556986">
            <w:pPr>
              <w:jc w:val="center"/>
              <w:rPr>
                <w:rFonts w:ascii="Calibri" w:hAnsi="Calibri"/>
                <w:b/>
                <w:bCs/>
                <w:color w:val="000000"/>
                <w:sz w:val="18"/>
                <w:szCs w:val="18"/>
              </w:rPr>
            </w:pPr>
            <w:r w:rsidRPr="00297C52">
              <w:rPr>
                <w:rFonts w:ascii="Calibri" w:hAnsi="Calibri"/>
                <w:b/>
                <w:bCs/>
                <w:color w:val="000000"/>
                <w:sz w:val="18"/>
                <w:szCs w:val="18"/>
              </w:rPr>
              <w:t>unieszkodliwione termicznie</w:t>
            </w:r>
            <w:r>
              <w:rPr>
                <w:rFonts w:ascii="Calibri" w:hAnsi="Calibri"/>
                <w:b/>
                <w:bCs/>
                <w:color w:val="000000"/>
                <w:sz w:val="18"/>
                <w:szCs w:val="18"/>
              </w:rPr>
              <w:t xml:space="preserve"> [Mg/rok]</w:t>
            </w:r>
          </w:p>
        </w:tc>
      </w:tr>
      <w:tr w:rsidR="00FB2534" w:rsidRPr="00297C52" w:rsidTr="00556986">
        <w:trPr>
          <w:cantSplit/>
          <w:trHeight w:val="227"/>
          <w:jc w:val="center"/>
        </w:trPr>
        <w:tc>
          <w:tcPr>
            <w:tcW w:w="3028" w:type="dxa"/>
            <w:tcBorders>
              <w:top w:val="nil"/>
              <w:left w:val="single" w:sz="4" w:space="0" w:color="auto"/>
              <w:bottom w:val="single" w:sz="4" w:space="0" w:color="auto"/>
              <w:right w:val="single" w:sz="4" w:space="0" w:color="auto"/>
            </w:tcBorders>
            <w:noWrap/>
            <w:vAlign w:val="center"/>
          </w:tcPr>
          <w:p w:rsidR="00FB2534" w:rsidRPr="00297C52" w:rsidRDefault="00FB2534" w:rsidP="00556986">
            <w:pPr>
              <w:rPr>
                <w:rFonts w:ascii="Calibri" w:hAnsi="Calibri"/>
                <w:color w:val="000000"/>
                <w:sz w:val="18"/>
                <w:szCs w:val="18"/>
              </w:rPr>
            </w:pPr>
            <w:r w:rsidRPr="00297C52">
              <w:rPr>
                <w:rFonts w:ascii="Calibri" w:hAnsi="Calibri"/>
                <w:color w:val="000000"/>
                <w:sz w:val="18"/>
                <w:szCs w:val="18"/>
              </w:rPr>
              <w:t>odpady komunalne</w:t>
            </w:r>
          </w:p>
        </w:tc>
        <w:tc>
          <w:tcPr>
            <w:tcW w:w="2889"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843,5</w:t>
            </w:r>
          </w:p>
        </w:tc>
        <w:tc>
          <w:tcPr>
            <w:tcW w:w="2889"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r w:rsidR="00FB2534" w:rsidRPr="00297C52" w:rsidTr="00556986">
        <w:trPr>
          <w:cantSplit/>
          <w:trHeight w:val="227"/>
          <w:jc w:val="center"/>
        </w:trPr>
        <w:tc>
          <w:tcPr>
            <w:tcW w:w="3028" w:type="dxa"/>
            <w:tcBorders>
              <w:top w:val="nil"/>
              <w:left w:val="single" w:sz="4" w:space="0" w:color="auto"/>
              <w:bottom w:val="single" w:sz="4" w:space="0" w:color="auto"/>
              <w:right w:val="single" w:sz="4" w:space="0" w:color="auto"/>
            </w:tcBorders>
            <w:noWrap/>
            <w:vAlign w:val="center"/>
          </w:tcPr>
          <w:p w:rsidR="00FB2534" w:rsidRPr="00297C52" w:rsidRDefault="00FB2534" w:rsidP="00556986">
            <w:pPr>
              <w:rPr>
                <w:rFonts w:ascii="Calibri" w:hAnsi="Calibri"/>
                <w:color w:val="000000"/>
                <w:sz w:val="18"/>
                <w:szCs w:val="18"/>
              </w:rPr>
            </w:pPr>
            <w:r w:rsidRPr="00297C52">
              <w:rPr>
                <w:rFonts w:ascii="Calibri" w:hAnsi="Calibri"/>
                <w:color w:val="000000"/>
                <w:sz w:val="18"/>
                <w:szCs w:val="18"/>
              </w:rPr>
              <w:t>pozostałe odpady</w:t>
            </w:r>
          </w:p>
        </w:tc>
        <w:tc>
          <w:tcPr>
            <w:tcW w:w="2889"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c>
          <w:tcPr>
            <w:tcW w:w="2889"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w:t>
            </w:r>
          </w:p>
        </w:tc>
      </w:tr>
    </w:tbl>
    <w:p w:rsidR="00FB2534" w:rsidRDefault="00FB2534" w:rsidP="007A7B69">
      <w:pPr>
        <w:pStyle w:val="GOMnormal"/>
        <w:rPr>
          <w:lang w:eastAsia="ar-SA"/>
        </w:rPr>
      </w:pPr>
      <w:r>
        <w:rPr>
          <w:lang w:eastAsia="ar-SA"/>
        </w:rPr>
        <w:t>W przypadku lasów bilans jest ujemny, gdyż przeważa pochłanianie. Największa emisja ekwiwalentnego dwutlenku węgla pochodzi z rolnictwa. Łącznie emisja CO</w:t>
      </w:r>
      <w:r w:rsidRPr="00306335">
        <w:rPr>
          <w:vertAlign w:val="subscript"/>
          <w:lang w:eastAsia="ar-SA"/>
        </w:rPr>
        <w:t>2eq</w:t>
      </w:r>
      <w:r>
        <w:rPr>
          <w:lang w:eastAsia="ar-SA"/>
        </w:rPr>
        <w:t xml:space="preserve"> z tych trzech sektorów wynosi ok. 3 420 Mg CO</w:t>
      </w:r>
      <w:r w:rsidRPr="00306335">
        <w:rPr>
          <w:vertAlign w:val="subscript"/>
          <w:lang w:eastAsia="ar-SA"/>
        </w:rPr>
        <w:t>2eq</w:t>
      </w:r>
      <w:r>
        <w:rPr>
          <w:lang w:eastAsia="ar-SA"/>
        </w:rPr>
        <w:t>/rok. Dokładne zestawienie emisji poszczególnych gazów cieplarnianych zamieszczono w tabeli poniżej i zobrazowano na wykresie.</w:t>
      </w:r>
    </w:p>
    <w:p w:rsidR="00FB2534" w:rsidRDefault="00FB2534" w:rsidP="007A7B69">
      <w:pPr>
        <w:pStyle w:val="GOMpodpistab"/>
      </w:pPr>
      <w:bookmarkStart w:id="181" w:name="_Toc416981923"/>
      <w:bookmarkStart w:id="182" w:name="_Toc422135110"/>
      <w:r>
        <w:t xml:space="preserve">Tabela </w:t>
      </w:r>
      <w:r>
        <w:fldChar w:fldCharType="begin"/>
      </w:r>
      <w:r>
        <w:instrText xml:space="preserve"> SEQ Tabela \* ARABIC </w:instrText>
      </w:r>
      <w:r>
        <w:fldChar w:fldCharType="separate"/>
      </w:r>
      <w:r>
        <w:rPr>
          <w:noProof/>
        </w:rPr>
        <w:t>17</w:t>
      </w:r>
      <w:r>
        <w:fldChar w:fldCharType="end"/>
      </w:r>
      <w:r>
        <w:t>. Wielkość emisji gazów cieplarnianych z sektorów rolnictwa, leśnictwa i gospodarki odpadami na terenie Gminy Wiejskiej Malbork</w:t>
      </w:r>
      <w:bookmarkEnd w:id="181"/>
      <w:r>
        <w:rPr>
          <w:rStyle w:val="FootnoteReference"/>
        </w:rPr>
        <w:footnoteReference w:id="32"/>
      </w:r>
      <w:bookmarkEnd w:id="182"/>
    </w:p>
    <w:tbl>
      <w:tblPr>
        <w:tblW w:w="5000" w:type="pct"/>
        <w:jc w:val="center"/>
        <w:tblCellMar>
          <w:top w:w="28" w:type="dxa"/>
          <w:left w:w="70" w:type="dxa"/>
          <w:bottom w:w="28" w:type="dxa"/>
          <w:right w:w="70" w:type="dxa"/>
        </w:tblCellMar>
        <w:tblLook w:val="00A0" w:firstRow="1" w:lastRow="0" w:firstColumn="1" w:lastColumn="0" w:noHBand="0" w:noVBand="0"/>
      </w:tblPr>
      <w:tblGrid>
        <w:gridCol w:w="2710"/>
        <w:gridCol w:w="1524"/>
        <w:gridCol w:w="1525"/>
        <w:gridCol w:w="1525"/>
        <w:gridCol w:w="1525"/>
      </w:tblGrid>
      <w:tr w:rsidR="00FB2534" w:rsidRPr="001F560C" w:rsidTr="00556986">
        <w:trPr>
          <w:cantSplit/>
          <w:trHeight w:val="227"/>
          <w:tblHeader/>
          <w:jc w:val="center"/>
        </w:trPr>
        <w:tc>
          <w:tcPr>
            <w:tcW w:w="2710" w:type="dxa"/>
            <w:vMerge w:val="restart"/>
            <w:tcBorders>
              <w:top w:val="single" w:sz="4" w:space="0" w:color="auto"/>
              <w:left w:val="single" w:sz="4" w:space="0" w:color="auto"/>
              <w:bottom w:val="single" w:sz="4" w:space="0" w:color="000000"/>
              <w:right w:val="single" w:sz="4" w:space="0" w:color="auto"/>
            </w:tcBorders>
            <w:shd w:val="clear" w:color="000000" w:fill="BFBFBF"/>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sektor</w:t>
            </w:r>
          </w:p>
        </w:tc>
        <w:tc>
          <w:tcPr>
            <w:tcW w:w="1524" w:type="dxa"/>
            <w:tcBorders>
              <w:top w:val="single" w:sz="4" w:space="0" w:color="auto"/>
              <w:left w:val="nil"/>
              <w:bottom w:val="single" w:sz="4" w:space="0" w:color="auto"/>
              <w:right w:val="single" w:sz="4" w:space="0" w:color="auto"/>
            </w:tcBorders>
            <w:shd w:val="clear" w:color="000000" w:fill="BFBFBF"/>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emisja CH</w:t>
            </w:r>
            <w:r w:rsidRPr="001F560C">
              <w:rPr>
                <w:rFonts w:ascii="Calibri" w:hAnsi="Calibri"/>
                <w:b/>
                <w:bCs/>
                <w:sz w:val="18"/>
                <w:szCs w:val="18"/>
                <w:vertAlign w:val="subscript"/>
              </w:rPr>
              <w:t>4</w:t>
            </w:r>
          </w:p>
        </w:tc>
        <w:tc>
          <w:tcPr>
            <w:tcW w:w="1524" w:type="dxa"/>
            <w:tcBorders>
              <w:top w:val="single" w:sz="4" w:space="0" w:color="auto"/>
              <w:left w:val="nil"/>
              <w:bottom w:val="single" w:sz="4" w:space="0" w:color="auto"/>
              <w:right w:val="single" w:sz="4" w:space="0" w:color="auto"/>
            </w:tcBorders>
            <w:shd w:val="clear" w:color="000000" w:fill="BFBFBF"/>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emisja N</w:t>
            </w:r>
            <w:r w:rsidRPr="001F560C">
              <w:rPr>
                <w:rFonts w:ascii="Calibri" w:hAnsi="Calibri"/>
                <w:b/>
                <w:bCs/>
                <w:sz w:val="18"/>
                <w:szCs w:val="18"/>
                <w:vertAlign w:val="subscript"/>
              </w:rPr>
              <w:t>2</w:t>
            </w:r>
            <w:r w:rsidRPr="001F560C">
              <w:rPr>
                <w:rFonts w:ascii="Calibri" w:hAnsi="Calibri"/>
                <w:b/>
                <w:bCs/>
                <w:sz w:val="18"/>
                <w:szCs w:val="18"/>
              </w:rPr>
              <w:t>O</w:t>
            </w:r>
          </w:p>
        </w:tc>
        <w:tc>
          <w:tcPr>
            <w:tcW w:w="1524" w:type="dxa"/>
            <w:tcBorders>
              <w:top w:val="single" w:sz="4" w:space="0" w:color="auto"/>
              <w:left w:val="nil"/>
              <w:bottom w:val="single" w:sz="4" w:space="0" w:color="auto"/>
              <w:right w:val="single" w:sz="4" w:space="0" w:color="auto"/>
            </w:tcBorders>
            <w:shd w:val="clear" w:color="000000" w:fill="BFBFBF"/>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emisja CO</w:t>
            </w:r>
            <w:r w:rsidRPr="001F560C">
              <w:rPr>
                <w:rFonts w:ascii="Calibri" w:hAnsi="Calibri"/>
                <w:b/>
                <w:bCs/>
                <w:sz w:val="18"/>
                <w:szCs w:val="18"/>
                <w:vertAlign w:val="subscript"/>
              </w:rPr>
              <w:t>2</w:t>
            </w:r>
          </w:p>
        </w:tc>
        <w:tc>
          <w:tcPr>
            <w:tcW w:w="1524" w:type="dxa"/>
            <w:tcBorders>
              <w:top w:val="single" w:sz="4" w:space="0" w:color="auto"/>
              <w:left w:val="nil"/>
              <w:bottom w:val="single" w:sz="4" w:space="0" w:color="auto"/>
              <w:right w:val="single" w:sz="4" w:space="0" w:color="auto"/>
            </w:tcBorders>
            <w:shd w:val="clear" w:color="000000" w:fill="BFBFBF"/>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emisja CO</w:t>
            </w:r>
            <w:r w:rsidRPr="001F560C">
              <w:rPr>
                <w:rFonts w:ascii="Calibri" w:hAnsi="Calibri"/>
                <w:b/>
                <w:bCs/>
                <w:sz w:val="18"/>
                <w:szCs w:val="18"/>
                <w:vertAlign w:val="subscript"/>
              </w:rPr>
              <w:t>2(eq)</w:t>
            </w:r>
          </w:p>
        </w:tc>
      </w:tr>
      <w:tr w:rsidR="00FB2534" w:rsidRPr="001F560C" w:rsidTr="00556986">
        <w:trPr>
          <w:cantSplit/>
          <w:trHeight w:val="227"/>
          <w:tblHeader/>
          <w:jc w:val="center"/>
        </w:trPr>
        <w:tc>
          <w:tcPr>
            <w:tcW w:w="2710" w:type="dxa"/>
            <w:vMerge/>
            <w:tcBorders>
              <w:top w:val="single" w:sz="4" w:space="0" w:color="auto"/>
              <w:left w:val="single" w:sz="4" w:space="0" w:color="auto"/>
              <w:bottom w:val="single" w:sz="4" w:space="0" w:color="000000"/>
              <w:right w:val="single" w:sz="4" w:space="0" w:color="auto"/>
            </w:tcBorders>
            <w:vAlign w:val="center"/>
          </w:tcPr>
          <w:p w:rsidR="00FB2534" w:rsidRPr="001F560C" w:rsidRDefault="00FB2534" w:rsidP="00556986">
            <w:pPr>
              <w:rPr>
                <w:rFonts w:ascii="Calibri" w:hAnsi="Calibri"/>
                <w:b/>
                <w:bCs/>
                <w:sz w:val="18"/>
                <w:szCs w:val="18"/>
              </w:rPr>
            </w:pPr>
          </w:p>
        </w:tc>
        <w:tc>
          <w:tcPr>
            <w:tcW w:w="1524" w:type="dxa"/>
            <w:tcBorders>
              <w:top w:val="nil"/>
              <w:left w:val="nil"/>
              <w:bottom w:val="single" w:sz="4" w:space="0" w:color="auto"/>
              <w:right w:val="single" w:sz="4" w:space="0" w:color="auto"/>
            </w:tcBorders>
            <w:shd w:val="clear" w:color="000000" w:fill="BFBFBF"/>
            <w:noWrap/>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[Mg/rok]</w:t>
            </w:r>
          </w:p>
        </w:tc>
        <w:tc>
          <w:tcPr>
            <w:tcW w:w="1524" w:type="dxa"/>
            <w:tcBorders>
              <w:top w:val="nil"/>
              <w:left w:val="nil"/>
              <w:bottom w:val="single" w:sz="4" w:space="0" w:color="auto"/>
              <w:right w:val="single" w:sz="4" w:space="0" w:color="auto"/>
            </w:tcBorders>
            <w:shd w:val="clear" w:color="000000" w:fill="BFBFBF"/>
            <w:noWrap/>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[Mg/rok]</w:t>
            </w:r>
          </w:p>
        </w:tc>
        <w:tc>
          <w:tcPr>
            <w:tcW w:w="1524" w:type="dxa"/>
            <w:tcBorders>
              <w:top w:val="nil"/>
              <w:left w:val="nil"/>
              <w:bottom w:val="single" w:sz="4" w:space="0" w:color="auto"/>
              <w:right w:val="single" w:sz="4" w:space="0" w:color="auto"/>
            </w:tcBorders>
            <w:shd w:val="clear" w:color="000000" w:fill="BFBFBF"/>
            <w:noWrap/>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[Mg/rok]</w:t>
            </w:r>
          </w:p>
        </w:tc>
        <w:tc>
          <w:tcPr>
            <w:tcW w:w="1524" w:type="dxa"/>
            <w:tcBorders>
              <w:top w:val="nil"/>
              <w:left w:val="nil"/>
              <w:bottom w:val="single" w:sz="4" w:space="0" w:color="auto"/>
              <w:right w:val="single" w:sz="4" w:space="0" w:color="auto"/>
            </w:tcBorders>
            <w:shd w:val="clear" w:color="000000" w:fill="BFBFBF"/>
            <w:noWrap/>
            <w:vAlign w:val="center"/>
          </w:tcPr>
          <w:p w:rsidR="00FB2534" w:rsidRPr="001F560C" w:rsidRDefault="00FB2534" w:rsidP="00556986">
            <w:pPr>
              <w:jc w:val="center"/>
              <w:rPr>
                <w:rFonts w:ascii="Calibri" w:hAnsi="Calibri"/>
                <w:b/>
                <w:bCs/>
                <w:sz w:val="18"/>
                <w:szCs w:val="18"/>
              </w:rPr>
            </w:pPr>
            <w:r w:rsidRPr="001F560C">
              <w:rPr>
                <w:rFonts w:ascii="Calibri" w:hAnsi="Calibri"/>
                <w:b/>
                <w:bCs/>
                <w:sz w:val="18"/>
                <w:szCs w:val="18"/>
              </w:rPr>
              <w:t>[Mg/rok]</w:t>
            </w:r>
          </w:p>
        </w:tc>
      </w:tr>
      <w:tr w:rsidR="00FB2534" w:rsidRPr="001F560C" w:rsidTr="00556986">
        <w:trPr>
          <w:cantSplit/>
          <w:trHeight w:val="227"/>
          <w:jc w:val="center"/>
        </w:trPr>
        <w:tc>
          <w:tcPr>
            <w:tcW w:w="2710" w:type="dxa"/>
            <w:tcBorders>
              <w:top w:val="nil"/>
              <w:left w:val="single" w:sz="4" w:space="0" w:color="auto"/>
              <w:bottom w:val="single" w:sz="4" w:space="0" w:color="auto"/>
              <w:right w:val="single" w:sz="4" w:space="0" w:color="auto"/>
            </w:tcBorders>
            <w:noWrap/>
            <w:vAlign w:val="center"/>
          </w:tcPr>
          <w:p w:rsidR="00FB2534" w:rsidRPr="001F560C" w:rsidRDefault="00FB2534" w:rsidP="00556986">
            <w:pPr>
              <w:rPr>
                <w:rFonts w:ascii="Calibri" w:hAnsi="Calibri"/>
                <w:color w:val="000000"/>
                <w:sz w:val="18"/>
                <w:szCs w:val="18"/>
              </w:rPr>
            </w:pPr>
            <w:r w:rsidRPr="001F560C">
              <w:rPr>
                <w:rFonts w:ascii="Calibri" w:hAnsi="Calibri"/>
                <w:color w:val="000000"/>
                <w:sz w:val="18"/>
                <w:szCs w:val="18"/>
              </w:rPr>
              <w:t>rolnictwo</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105,58</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1,75</w:t>
            </w:r>
          </w:p>
        </w:tc>
        <w:tc>
          <w:tcPr>
            <w:tcW w:w="1524" w:type="dxa"/>
            <w:tcBorders>
              <w:top w:val="nil"/>
              <w:left w:val="nil"/>
              <w:bottom w:val="single" w:sz="4" w:space="0" w:color="auto"/>
              <w:right w:val="single" w:sz="4" w:space="0" w:color="auto"/>
            </w:tcBorders>
            <w:shd w:val="clear" w:color="000000" w:fill="D8D8D8"/>
            <w:noWrap/>
            <w:vAlign w:val="center"/>
          </w:tcPr>
          <w:p w:rsidR="00FB2534" w:rsidRDefault="00FB2534" w:rsidP="00556986">
            <w:pPr>
              <w:rPr>
                <w:rFonts w:ascii="Calibri" w:hAnsi="Calibri"/>
                <w:color w:val="000000"/>
                <w:sz w:val="18"/>
                <w:szCs w:val="18"/>
              </w:rPr>
            </w:pPr>
            <w:r>
              <w:rPr>
                <w:rFonts w:ascii="Calibri" w:hAnsi="Calibri"/>
                <w:color w:val="000000"/>
                <w:sz w:val="18"/>
                <w:szCs w:val="18"/>
              </w:rPr>
              <w:t> </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2 759,42</w:t>
            </w:r>
          </w:p>
        </w:tc>
      </w:tr>
      <w:tr w:rsidR="00FB2534" w:rsidRPr="001F560C" w:rsidTr="00556986">
        <w:trPr>
          <w:cantSplit/>
          <w:trHeight w:val="227"/>
          <w:jc w:val="center"/>
        </w:trPr>
        <w:tc>
          <w:tcPr>
            <w:tcW w:w="2710" w:type="dxa"/>
            <w:tcBorders>
              <w:top w:val="nil"/>
              <w:left w:val="single" w:sz="4" w:space="0" w:color="auto"/>
              <w:bottom w:val="single" w:sz="4" w:space="0" w:color="auto"/>
              <w:right w:val="single" w:sz="4" w:space="0" w:color="auto"/>
            </w:tcBorders>
            <w:noWrap/>
            <w:vAlign w:val="center"/>
          </w:tcPr>
          <w:p w:rsidR="00FB2534" w:rsidRPr="001F560C" w:rsidRDefault="00FB2534" w:rsidP="00556986">
            <w:pPr>
              <w:rPr>
                <w:rFonts w:ascii="Calibri" w:hAnsi="Calibri"/>
                <w:color w:val="000000"/>
                <w:sz w:val="18"/>
                <w:szCs w:val="18"/>
              </w:rPr>
            </w:pPr>
            <w:r>
              <w:rPr>
                <w:rFonts w:ascii="Calibri" w:hAnsi="Calibri"/>
                <w:color w:val="000000"/>
                <w:sz w:val="18"/>
                <w:szCs w:val="18"/>
              </w:rPr>
              <w:t>leśnictwo</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3,26</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0,17</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-516,05</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-396,36</w:t>
            </w:r>
          </w:p>
        </w:tc>
      </w:tr>
      <w:tr w:rsidR="00FB2534" w:rsidRPr="001F560C" w:rsidTr="00556986">
        <w:trPr>
          <w:cantSplit/>
          <w:trHeight w:val="227"/>
          <w:jc w:val="center"/>
        </w:trPr>
        <w:tc>
          <w:tcPr>
            <w:tcW w:w="2710" w:type="dxa"/>
            <w:tcBorders>
              <w:top w:val="nil"/>
              <w:left w:val="single" w:sz="4" w:space="0" w:color="auto"/>
              <w:bottom w:val="single" w:sz="4" w:space="0" w:color="auto"/>
              <w:right w:val="single" w:sz="4" w:space="0" w:color="auto"/>
            </w:tcBorders>
            <w:noWrap/>
            <w:vAlign w:val="center"/>
          </w:tcPr>
          <w:p w:rsidR="00FB2534" w:rsidRPr="001F560C" w:rsidRDefault="00FB2534" w:rsidP="00556986">
            <w:pPr>
              <w:rPr>
                <w:rFonts w:ascii="Calibri" w:hAnsi="Calibri"/>
                <w:color w:val="000000"/>
                <w:sz w:val="18"/>
                <w:szCs w:val="18"/>
              </w:rPr>
            </w:pPr>
            <w:r>
              <w:rPr>
                <w:rFonts w:ascii="Calibri" w:hAnsi="Calibri"/>
                <w:color w:val="000000"/>
                <w:sz w:val="18"/>
                <w:szCs w:val="18"/>
              </w:rPr>
              <w:t xml:space="preserve">gospodarka </w:t>
            </w:r>
            <w:r w:rsidRPr="001F560C">
              <w:rPr>
                <w:rFonts w:ascii="Calibri" w:hAnsi="Calibri"/>
                <w:color w:val="000000"/>
                <w:sz w:val="18"/>
                <w:szCs w:val="18"/>
              </w:rPr>
              <w:t>odpad</w:t>
            </w:r>
            <w:r>
              <w:rPr>
                <w:rFonts w:ascii="Calibri" w:hAnsi="Calibri"/>
                <w:color w:val="000000"/>
                <w:sz w:val="18"/>
                <w:szCs w:val="18"/>
              </w:rPr>
              <w:t>ami</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48,36</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0,00</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39,57</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color w:val="000000"/>
                <w:sz w:val="18"/>
                <w:szCs w:val="18"/>
              </w:rPr>
            </w:pPr>
            <w:r>
              <w:rPr>
                <w:rFonts w:ascii="Calibri" w:hAnsi="Calibri"/>
                <w:color w:val="000000"/>
                <w:sz w:val="18"/>
                <w:szCs w:val="18"/>
              </w:rPr>
              <w:t>1 055,14</w:t>
            </w:r>
          </w:p>
        </w:tc>
      </w:tr>
      <w:tr w:rsidR="00FB2534" w:rsidRPr="00175F2D" w:rsidTr="00556986">
        <w:trPr>
          <w:cantSplit/>
          <w:trHeight w:val="227"/>
          <w:jc w:val="center"/>
        </w:trPr>
        <w:tc>
          <w:tcPr>
            <w:tcW w:w="2710" w:type="dxa"/>
            <w:tcBorders>
              <w:top w:val="nil"/>
              <w:left w:val="single" w:sz="4" w:space="0" w:color="auto"/>
              <w:bottom w:val="single" w:sz="4" w:space="0" w:color="auto"/>
              <w:right w:val="single" w:sz="4" w:space="0" w:color="auto"/>
            </w:tcBorders>
            <w:noWrap/>
            <w:vAlign w:val="center"/>
          </w:tcPr>
          <w:p w:rsidR="00FB2534" w:rsidRPr="001F560C" w:rsidRDefault="00FB2534" w:rsidP="00556986">
            <w:pPr>
              <w:jc w:val="right"/>
              <w:rPr>
                <w:rFonts w:ascii="Calibri" w:hAnsi="Calibri"/>
                <w:b/>
                <w:color w:val="000000"/>
                <w:sz w:val="18"/>
                <w:szCs w:val="18"/>
              </w:rPr>
            </w:pPr>
            <w:r w:rsidRPr="001F560C">
              <w:rPr>
                <w:rFonts w:ascii="Calibri" w:hAnsi="Calibri"/>
                <w:b/>
                <w:color w:val="000000"/>
                <w:sz w:val="18"/>
                <w:szCs w:val="18"/>
              </w:rPr>
              <w:t>RAZEM</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157,20</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1,91</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-476,48</w:t>
            </w:r>
          </w:p>
        </w:tc>
        <w:tc>
          <w:tcPr>
            <w:tcW w:w="1524" w:type="dxa"/>
            <w:tcBorders>
              <w:top w:val="nil"/>
              <w:left w:val="nil"/>
              <w:bottom w:val="single" w:sz="4" w:space="0" w:color="auto"/>
              <w:right w:val="single" w:sz="4" w:space="0" w:color="auto"/>
            </w:tcBorders>
            <w:noWrap/>
            <w:vAlign w:val="center"/>
          </w:tcPr>
          <w:p w:rsidR="00FB2534" w:rsidRDefault="00FB2534" w:rsidP="00556986">
            <w:pPr>
              <w:jc w:val="right"/>
              <w:rPr>
                <w:rFonts w:ascii="Calibri" w:hAnsi="Calibri"/>
                <w:b/>
                <w:bCs/>
                <w:color w:val="000000"/>
                <w:sz w:val="18"/>
                <w:szCs w:val="18"/>
              </w:rPr>
            </w:pPr>
            <w:r>
              <w:rPr>
                <w:rFonts w:ascii="Calibri" w:hAnsi="Calibri"/>
                <w:b/>
                <w:bCs/>
                <w:color w:val="000000"/>
                <w:sz w:val="18"/>
                <w:szCs w:val="18"/>
              </w:rPr>
              <w:t>3 418,20</w:t>
            </w:r>
          </w:p>
        </w:tc>
      </w:tr>
    </w:tbl>
    <w:p w:rsidR="00FB2534" w:rsidRDefault="00FB2534" w:rsidP="007A7B69">
      <w:pPr>
        <w:pStyle w:val="GOMnormal"/>
      </w:pPr>
    </w:p>
    <w:p w:rsidR="00FB2534" w:rsidRDefault="00FB2534" w:rsidP="007A7B69">
      <w:pPr>
        <w:pStyle w:val="GOMnormal"/>
        <w:keepNext/>
      </w:pPr>
      <w:r>
        <w:rPr>
          <w:noProof/>
        </w:rPr>
        <w:pict>
          <v:shape id="Wykres 23" o:spid="_x0000_i1043" type="#_x0000_t75" style="width:433.5pt;height:198.7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">
            <v:imagedata r:id="rId32" o:title=""/>
            <o:lock v:ext="edit" aspectratio="f"/>
          </v:shape>
        </w:pict>
      </w:r>
    </w:p>
    <w:p w:rsidR="00FB2534" w:rsidRDefault="00FB2534" w:rsidP="007A7B69">
      <w:pPr>
        <w:pStyle w:val="GOMpodpistab"/>
      </w:pPr>
      <w:bookmarkStart w:id="183" w:name="_Toc416981940"/>
      <w:bookmarkStart w:id="184" w:name="_Toc422133286"/>
      <w:r>
        <w:t xml:space="preserve">Rysunek </w:t>
      </w:r>
      <w:r>
        <w:fldChar w:fldCharType="begin"/>
      </w:r>
      <w:r>
        <w:instrText xml:space="preserve"> SEQ Rysunek \* ARABIC </w:instrText>
      </w:r>
      <w:r>
        <w:fldChar w:fldCharType="separate"/>
      </w:r>
      <w:r>
        <w:rPr>
          <w:noProof/>
        </w:rPr>
        <w:t>13</w:t>
      </w:r>
      <w:r>
        <w:fldChar w:fldCharType="end"/>
      </w:r>
      <w:r>
        <w:t>. Emisja gazów cieplarnianych z sektorów rolnictwa, leśnictwa i gospodarki odpadami na terenie Gminy Wiejskiej Malbork</w:t>
      </w:r>
      <w:bookmarkEnd w:id="183"/>
      <w:r>
        <w:rPr>
          <w:rStyle w:val="FootnoteReference"/>
        </w:rPr>
        <w:footnoteReference w:id="33"/>
      </w:r>
      <w:bookmarkEnd w:id="184"/>
    </w:p>
    <w:p w:rsidR="00FB2534" w:rsidRDefault="00FB2534" w:rsidP="007A7B69">
      <w:pPr>
        <w:pStyle w:val="GOMnormal"/>
      </w:pPr>
      <w:r>
        <w:t>Emisja metanu pochodzi w większości z rolnictwa stanowiąc ok. 67% emisji tego gazu cieplarnianego na terenie gminy. Na drugim miejscu plasuje się gospodarka odpadami – ok. 31%, emisja z terenów leśnych stanowi tylko ok. 2%. Podtlenek azotu emitowany jest głównie rolnictwa (ok. 91%) i tylko w niewielkiej ilości z terenów leśnych (ok. 9%). Emisja CO</w:t>
      </w:r>
      <w:r w:rsidRPr="00297C52">
        <w:rPr>
          <w:vertAlign w:val="subscript"/>
        </w:rPr>
        <w:t>2</w:t>
      </w:r>
      <w:r>
        <w:t xml:space="preserve"> pochodzi z gospodarki odpadami, natomiast drzewa w lasach pochłaniają CO</w:t>
      </w:r>
      <w:r w:rsidRPr="00297C52">
        <w:rPr>
          <w:vertAlign w:val="subscript"/>
        </w:rPr>
        <w:t>2</w:t>
      </w:r>
      <w:r>
        <w:t>, stąd ujemne wartości emisji tego gazu. W przypadku emisji ekwiwalentnego dwutlenku węgla przeważa emisja z rolnictwa. Emisja z terenów leśnych jest ujemna, co oznacza, że przeważa pochłanianie gazów cieplarnianych (CO</w:t>
      </w:r>
      <w:r w:rsidRPr="00297C52">
        <w:rPr>
          <w:vertAlign w:val="subscript"/>
        </w:rPr>
        <w:t>2</w:t>
      </w:r>
      <w:r>
        <w:t>) nad ich produkcją (metan, podtlenek azotu).</w:t>
      </w:r>
    </w:p>
    <w:p w:rsidR="00FB2534" w:rsidRDefault="00FB2534" w:rsidP="007A7B69">
      <w:pPr>
        <w:pStyle w:val="GOMnormal"/>
      </w:pPr>
    </w:p>
    <w:p w:rsidR="00FB2534" w:rsidRDefault="00FB2534" w:rsidP="007A7B69">
      <w:pPr>
        <w:pStyle w:val="GOMnormal"/>
        <w:keepNext/>
      </w:pPr>
      <w:r>
        <w:rPr>
          <w:noProof/>
        </w:rPr>
        <w:pict>
          <v:shape id="Wykres 24" o:spid="_x0000_i1044" type="#_x0000_t75" style="width:434.25pt;height:162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">
            <v:imagedata r:id="rId33" o:title="" cropbottom="-101f"/>
            <o:lock v:ext="edit" aspectratio="f"/>
          </v:shape>
        </w:pict>
      </w:r>
    </w:p>
    <w:p w:rsidR="00FB2534" w:rsidRDefault="00FB2534" w:rsidP="00E15022">
      <w:pPr>
        <w:pStyle w:val="GOMpodpistab"/>
      </w:pPr>
      <w:bookmarkStart w:id="185" w:name="_Toc416981941"/>
      <w:bookmarkStart w:id="186" w:name="_Toc422133287"/>
      <w:r>
        <w:t xml:space="preserve">Rysunek </w:t>
      </w:r>
      <w:r>
        <w:fldChar w:fldCharType="begin"/>
      </w:r>
      <w:r>
        <w:instrText xml:space="preserve"> SEQ Rysunek \* ARABIC </w:instrText>
      </w:r>
      <w:r>
        <w:fldChar w:fldCharType="separate"/>
      </w:r>
      <w:r>
        <w:rPr>
          <w:noProof/>
        </w:rPr>
        <w:t>14</w:t>
      </w:r>
      <w:r>
        <w:fldChar w:fldCharType="end"/>
      </w:r>
      <w:r>
        <w:t>. Struktura emisji gazów cieplarnianych (metanu i podtlenku azotu) z sektorów fakultatywnych</w:t>
      </w:r>
      <w:bookmarkEnd w:id="185"/>
      <w:r>
        <w:rPr>
          <w:rStyle w:val="FootnoteReference"/>
        </w:rPr>
        <w:footnoteReference w:id="34"/>
      </w:r>
      <w:bookmarkEnd w:id="186"/>
    </w:p>
    <w:p w:rsidR="00FB2534" w:rsidRDefault="00FB2534" w:rsidP="007A7B69">
      <w:pPr>
        <w:pStyle w:val="GOMwyr"/>
      </w:pPr>
      <w:r>
        <w:t>Podsumowanie</w:t>
      </w:r>
    </w:p>
    <w:p w:rsidR="00FB2534" w:rsidRDefault="00FB2534" w:rsidP="007A7B69">
      <w:pPr>
        <w:pStyle w:val="GOMnormal"/>
      </w:pPr>
      <w:r>
        <w:t>Najważniejsze wnioski z analizy emisji gazów cieplarnianych z terenu Gminy Wiejskiej Malbork przedstawiają się następująco:</w:t>
      </w:r>
    </w:p>
    <w:p w:rsidR="00FB2534" w:rsidRPr="006C2279" w:rsidRDefault="00FB2534" w:rsidP="00407562">
      <w:pPr>
        <w:pStyle w:val="GOMwypkt"/>
        <w:numPr>
          <w:ilvl w:val="0"/>
          <w:numId w:val="21"/>
        </w:numPr>
        <w:ind w:left="568" w:hanging="284"/>
      </w:pPr>
      <w:r w:rsidRPr="006C2279">
        <w:t>udział sektorów należących do władz gminnych w całkowitej emisji z obszaru gminy jest niewielki. Budynki użyteczności publicznej są czwartym co do wielkości emisji CO</w:t>
      </w:r>
      <w:r w:rsidRPr="006C2279">
        <w:rPr>
          <w:vertAlign w:val="subscript"/>
        </w:rPr>
        <w:t>2</w:t>
      </w:r>
      <w:r w:rsidRPr="006C2279">
        <w:t xml:space="preserve"> źródłem na terenie gminy. Władze gminy powinny podjąć intensywne działania w tym sektorze. Sektor ten pozostając pod wpływem władz może być w znacznym stopniu poddany działaniom ograniczającym emisję, dlatego przedstawiciele </w:t>
      </w:r>
      <w:r>
        <w:t>Gminy</w:t>
      </w:r>
      <w:r w:rsidRPr="006C2279">
        <w:t xml:space="preserve"> powinny w tym zakresie prowadzić wyrazistą politykę i być wzorem do naśladowania dla mieszkańców;</w:t>
      </w:r>
    </w:p>
    <w:p w:rsidR="00FB2534" w:rsidRPr="006C2279" w:rsidRDefault="00FB2534" w:rsidP="00407562">
      <w:pPr>
        <w:pStyle w:val="GOMwypkt"/>
        <w:numPr>
          <w:ilvl w:val="0"/>
          <w:numId w:val="21"/>
        </w:numPr>
        <w:ind w:left="568" w:hanging="284"/>
      </w:pPr>
      <w:r w:rsidRPr="006C2279">
        <w:t>największym źródłem emisji CO</w:t>
      </w:r>
      <w:r w:rsidRPr="006C2279">
        <w:rPr>
          <w:vertAlign w:val="subscript"/>
        </w:rPr>
        <w:t>2</w:t>
      </w:r>
      <w:r w:rsidRPr="006C2279">
        <w:t xml:space="preserve"> na terenie gminy jest transport. Sektor transportu charakteryzuje się dużą dynamiką wzrostu emisji, która będzie utrzymywać się w najbliższych latach. Także w tej kategorii władze gminy istotnie wpływają na wielkość emisji poprzez prowadzenie odpowiednich działań </w:t>
      </w:r>
      <w:r>
        <w:t xml:space="preserve">w </w:t>
      </w:r>
      <w:r w:rsidRPr="006C2279">
        <w:t>zakresie budowy i modernizacji dróg, dzięki którym ilość emisji z</w:t>
      </w:r>
      <w:r>
        <w:t> </w:t>
      </w:r>
      <w:r w:rsidRPr="006C2279">
        <w:t>transportu, pomimo stałego zwiększania się liczby pojazdów, może być  zredukowana na terenie gminy;</w:t>
      </w:r>
    </w:p>
    <w:p w:rsidR="00FB2534" w:rsidRPr="006C2279" w:rsidRDefault="00FB2534" w:rsidP="00407562">
      <w:pPr>
        <w:pStyle w:val="GOMwypkt"/>
        <w:numPr>
          <w:ilvl w:val="0"/>
          <w:numId w:val="21"/>
        </w:numPr>
        <w:ind w:left="568" w:hanging="284"/>
      </w:pPr>
      <w:r w:rsidRPr="006C2279">
        <w:t>budynki mieszkalne to drugi, co do wielkości sektor, emitujący znaczną ilość gazów cieplarnianych; jest to również grupa, która ma duży potencjał redukcji emisji w zakresie ograniczania zużycia energii (elektrycznej i cieplnej finalnej) przez mieszkańców. Władze Gminy Wiejskiej Malbork mogą mieć istotny wpływ na podejmowane przez mieszkańców działania termomodernizacyjne, zmianę zachowań, likwidację niskosprawnych pieców na paliwa stałe;</w:t>
      </w:r>
    </w:p>
    <w:p w:rsidR="00FB2534" w:rsidRPr="006C2279" w:rsidRDefault="00FB2534" w:rsidP="00407562">
      <w:pPr>
        <w:pStyle w:val="GOMwypkt"/>
        <w:numPr>
          <w:ilvl w:val="0"/>
          <w:numId w:val="21"/>
        </w:numPr>
        <w:ind w:left="568" w:hanging="284"/>
      </w:pPr>
      <w:r w:rsidRPr="006C2279">
        <w:t>w innych sektorach wchodzących w skład gałęzi handlowo-usługowych oraz rolnictwa władze mają pomijalny wpływ na zakres działań stosowanych w celu redukcji dwutlenku węgla, jednak poprzez współpracę z przedsiębiorcami i rolnikami z terenu gminy można zredukować trend wzrostowy w tej grupie.</w:t>
      </w:r>
    </w:p>
    <w:p w:rsidR="00FB2534" w:rsidRDefault="00FB2534" w:rsidP="00E77C13">
      <w:pPr>
        <w:pStyle w:val="GOMnormal"/>
      </w:pPr>
      <w:r w:rsidRPr="006C2279">
        <w:t>Aktywność, jaką władze gminy powinny podjąć w celu ograniczenia wielkości emisji to przede wszystkim dokładna i przejrzysta strategia działania w ramach jednostek gminnych, bezwzględnie realizowana w najbliższych latach. Ponadto, konieczne jest podjęcie i prowadzenie działań strategicznyc</w:t>
      </w:r>
      <w:r w:rsidRPr="00C97053">
        <w:t xml:space="preserve">h kierowanych do ogółu mieszkańców </w:t>
      </w:r>
      <w:r>
        <w:t>Gminy Wiejskiej Malbork</w:t>
      </w:r>
      <w:r w:rsidRPr="00C97053">
        <w:t xml:space="preserve"> – np. w zakresie wymiany źródeł na paliwa stałe, polityki transportowej analizowanego obszaru funkcjonalnego oraz dogłębnie zakrojone kampanie edukacyjno – informacyjne. Również konieczne jest stworzenie narzędzi i struktur wspierających mieszkańców w zakresie termomodernizacji, promocji odnawialnych źródeł energii i technologii energooszczędnych. Działania należy konsolidować w miejscach, gdzie występuje duży potencjał redukcji, przynoszący odpowiednie efekty, bądź stanowiących wzorcowe rozwiązania/dobre praktyki do upowszednienia wśród mieszkańców. Działania mają przybierać efektywną formę zarówno pod względem ekologicznym, ekonomicznym i społecznym.</w:t>
      </w:r>
    </w:p>
    <w:p w:rsidR="00FB2534" w:rsidRDefault="00FB2534" w:rsidP="000E259C">
      <w:pPr>
        <w:pStyle w:val="GOMnagl2"/>
        <w:ind w:left="720"/>
      </w:pPr>
      <w:bookmarkStart w:id="187" w:name="_Toc422133343"/>
      <w:r>
        <w:t>Analiza zmian emisji CO</w:t>
      </w:r>
      <w:r w:rsidRPr="000E259C">
        <w:rPr>
          <w:vertAlign w:val="subscript"/>
        </w:rPr>
        <w:t>2</w:t>
      </w:r>
      <w:r>
        <w:t xml:space="preserve"> i zużycia energii finalnej w latach poprzedzających rok bazowy 2013</w:t>
      </w:r>
      <w:bookmarkEnd w:id="187"/>
    </w:p>
    <w:p w:rsidR="00FB2534" w:rsidRPr="00E81D89" w:rsidRDefault="00FB2534" w:rsidP="00670A55">
      <w:pPr>
        <w:pStyle w:val="GOMnormal"/>
      </w:pPr>
      <w:r w:rsidRPr="00E81D89">
        <w:t xml:space="preserve">W celu określenia emisji dwutlenku węgla w latach poprzedzających rok bazowy (2013) w </w:t>
      </w:r>
      <w:r>
        <w:t>gminie Malbork</w:t>
      </w:r>
      <w:r w:rsidRPr="00E81D89">
        <w:t xml:space="preserve"> przyjęto założenie, że emisja ta jest skorelowana z liczbą mieszkańców </w:t>
      </w:r>
      <w:r w:rsidRPr="003A3CC6">
        <w:t>gminy</w:t>
      </w:r>
      <w:r w:rsidRPr="00E81D89">
        <w:t xml:space="preserve"> oraz aktualnym (na dany rok) wskaźnikiem emisji CO</w:t>
      </w:r>
      <w:r w:rsidRPr="00EA51C7">
        <w:rPr>
          <w:vertAlign w:val="subscript"/>
        </w:rPr>
        <w:t>2</w:t>
      </w:r>
      <w:r w:rsidRPr="00E81D89">
        <w:t xml:space="preserve"> per capita. Jest to wskaźnik syntetyczny, uwzględniający zarówno bilans zużycia energii elektrycznej i cieplnej oraz aktywności transportowe w danym roku jak i zmiany emisyjności różnych sektorów. Przebieg zmienności wskaźnika w latach 1990-2013 wyznaczono na podstawie danych KOBIZE oraz GUS.</w:t>
      </w:r>
    </w:p>
    <w:p w:rsidR="00FB2534" w:rsidRPr="0059447C" w:rsidRDefault="00FB2534" w:rsidP="00670A55">
      <w:pPr>
        <w:jc w:val="center"/>
      </w:pPr>
      <w:r>
        <w:rPr>
          <w:noProof/>
        </w:rPr>
        <w:pict>
          <v:shape id="_x0000_i1045" type="#_x0000_t75" style="width:418.5pt;height:258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">
            <v:imagedata r:id="rId34" o:title="" cropbottom="-25f" cropright="-8f"/>
            <o:lock v:ext="edit" aspectratio="f"/>
          </v:shape>
        </w:pict>
      </w:r>
    </w:p>
    <w:p w:rsidR="00FB2534" w:rsidRDefault="00FB2534" w:rsidP="00670A55">
      <w:pPr>
        <w:pStyle w:val="GOMpodpistab"/>
      </w:pPr>
      <w:bookmarkStart w:id="188" w:name="_Toc422133288"/>
      <w:r>
        <w:t xml:space="preserve">Rysunek </w:t>
      </w:r>
      <w:r>
        <w:fldChar w:fldCharType="begin"/>
      </w:r>
      <w:r>
        <w:instrText xml:space="preserve"> SEQ Rysunek \* ARABIC </w:instrText>
      </w:r>
      <w:r>
        <w:fldChar w:fldCharType="separate"/>
      </w:r>
      <w:r>
        <w:rPr>
          <w:noProof/>
        </w:rPr>
        <w:t>15</w:t>
      </w:r>
      <w:r>
        <w:fldChar w:fldCharType="end"/>
      </w:r>
      <w:r>
        <w:t>. Wskaźnik emisji CO</w:t>
      </w:r>
      <w:r w:rsidRPr="00E81D89">
        <w:rPr>
          <w:vertAlign w:val="subscript"/>
        </w:rPr>
        <w:t>2</w:t>
      </w:r>
      <w:r>
        <w:t xml:space="preserve"> per capita [Mg/rok] (źródło: opracowanie własne na podstawie danych GUS, KOBIZE)</w:t>
      </w:r>
      <w:bookmarkEnd w:id="188"/>
    </w:p>
    <w:p w:rsidR="00FB2534" w:rsidRPr="00E81D89" w:rsidRDefault="00FB2534" w:rsidP="00670A55">
      <w:pPr>
        <w:pStyle w:val="GOMnormal"/>
      </w:pPr>
      <w:r w:rsidRPr="00E81D89">
        <w:t>Względną procentową zmianę emisji CO</w:t>
      </w:r>
      <w:r w:rsidRPr="00DE39E2">
        <w:rPr>
          <w:vertAlign w:val="subscript"/>
        </w:rPr>
        <w:t>2</w:t>
      </w:r>
      <w:r w:rsidRPr="00E81D89">
        <w:t xml:space="preserve"> w odniesieniu do roku 2013 określono wg następującego wzoru obliczeniowego:</w:t>
      </w:r>
    </w:p>
    <w:p w:rsidR="00FB2534" w:rsidRPr="00AC1CBB" w:rsidRDefault="00FB2534" w:rsidP="00670A55">
      <w:pPr>
        <w:pStyle w:val="GOMnormal"/>
      </w:pPr>
      <w:r>
        <w:pict>
          <v:shape id="_x0000_i1046" type="#_x0000_t75" style="width:129pt;height:27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67818&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067818&quot; wsp:rsidRDefault=&quot;00067818&quot; wsp:rsidP=&quot;00067818&quot;&gt;&lt;m:oMathPara&gt;&lt;m:oMath&gt;&lt;m:r&gt;&lt;m:rPr&gt;&lt;m:sty m:val=&quot;p&quot;/&gt;&lt;/m:rPr&gt;&lt;w:rPr&gt;&lt;w:rFonts w:ascii=&quot;Cambria Math&quot; w:h-ansi=&quot;Cambria Math&quot;/&gt;&lt;wx:font wx:val=&quot;Cambria Math&quot;/&gt;&lt;/w:rPr&gt;&lt;m:t&gt;â†=&lt;/m:t&gt;&lt;/m:r&gt;&lt;m:f&gt;&lt;m:fPr&gt;&lt;m:ctrlPr&gt;&lt;w:rPr&gt;&lt;w:rFonts w:ascii=&quot;Cambria Math&quot; w:h-ansi=&quot;Cambria Math&quot;/&gt;&lt;wx:font wx:val=&quot;Cambria Math&quot;/&gt;&lt;/w:rPr&gt;&lt;/m:ctrlPr&gt;&lt;/m:fPr&gt;&lt;m:num&gt;&lt;m:r&gt;&lt;w:rPr&gt;&lt;w:rFonts w:ascii=&quot;Cambria Math&quot; w:h-ansi=&quot;Cambria Math&quot;/&gt;&lt;wx:font wx:val=&quot;Cambria Math&quot;/&gt;&lt;w:i/&gt;&lt;/w:rPr&gt;&lt;m:t&gt;E&lt;/m:t&gt;&lt;/m:r&gt;&lt;m:d&gt;&lt;m:dPr&gt;&lt;m:ctrlPr&gt;&lt;w:rPr&gt;&lt;w:rFonts w:ascii=&quot;Cambria Math&quot; w:h-ansi=&quot;Cambria Math&quot;/&gt;&lt;wx:font wx:val=&quot;Cambria Math&quot;/&gt;&lt;/w:rPr&gt;&lt;/m:ctrlPr&gt;&lt;/m:dPr&gt;&lt;m:e&gt;&lt;m:r&gt;&lt;w:rPr&gt;&lt;w:rFonts w:ascii=&quot;Cambria Math&quot; w:h-ansi=&quot;Cambria Math&quot;/&gt;&lt;wx:font wx:val=&quot;Cambria Math&quot;/&gt;&lt;w:i/&gt;&lt;/w:rPr&gt;&lt;m:t&gt;x&lt;/m:t&gt;&lt;/m:r&gt;&lt;/m:e&gt;&lt;/m:d&gt;&lt;m:r&gt;&lt;m:rPr&gt;&lt;m:sty m:val=&quot;p&quot;/&gt;&lt;/m:rPr&gt;&lt;w:rPr&gt;&lt;w:rFonts w:ascii=&quot;Cambria Math&quot; w:h-ansi=&quot;Cambria Math&quot;/&gt;&lt;wx:font wx:val=&quot;Cambria Math&quot;/&gt;&lt;/w:rPr&gt;&lt;m:t&gt;-&lt;/m:t&gt;&lt;/m:r&gt;&lt;m:r&gt;&lt;w:rPr&gt;&lt;w:rFonts w:ascii=&quot;Cambria Math&quot; w:h-ansi=&quot;Cambria Math&quot;/&gt;&lt;wx:font wx:val=&quot;Cambria Math&quot;/&gt;&lt;w:i/&gt;&lt;/w:rPr&gt;&lt;m:t&gt;E&lt;/m:t&gt;&lt;/m:r&gt;&lt;m:r&gt;&lt;m:rPr&gt;&lt;m:sty m:val=&quot;p&quot;/&gt;&lt;/m:rPr&gt;&lt;w:rPr&gt;&lt;w:rFonts w:ascii=&quot;Cambria Math&quot; w:h-ansi=&quot;Cambria Math&quot;/&gt;&lt;wx:font wx:val=&quot;Cambria Math&quot;/&gt;&lt;/w:rPr&gt;&lt;m:t&gt;(2013)&lt;/m:t&gt;&lt;/m:r&gt;&lt;/m:num&gt;&lt;m:den&gt;&lt;m:r&gt;&lt;w:rPr&gt;&lt;w:rFonts w:ascii=&quot;Cambria Math&quot; w:h-ansi=&quot;Cambria Math&quot;/&gt;&lt;wx:font wx:val=&quot;Cambria Math&quot;/&gt;&lt;w:i/&gt;&lt;/w:rPr&gt;&lt;m:t&gt;E&lt;/m:t&gt;&lt;/m:r&gt;&lt;m:r&gt;&lt;m:rPr&gt;&lt;m:sty m:val=&quot;p&quot;/&gt;&lt;/m:rPr&gt;&lt;w:rPr&gt;&lt;w:rFonts w:ascii=&quot;Cambria Math&quot; w:h-ansi=&quot;Cambria Math&quot;/&gt;&lt;wx:font wx:val=&quot;Cambria Math&quot;/&gt;&lt;/w:rPr&gt;&lt;m:t&gt;(2013)&lt;/m:t&gt;&lt;/m:r&gt;&lt;/m:den&gt;&lt;/m:f&gt;&lt;m:r&gt;&lt;m:rPr&gt;&lt;m:sty m:val=&quot;p&quot;/&gt;&lt;/m:rPr&gt;&lt;w:rPr&gt;&lt;w:rFonts w:ascii=&quot;Cambria Math&quot; w:h-ansi=&quot;Cambria Math&quot;/&gt;&lt;wx:font wx:val=&quot;Cambria Math&quot;/&gt;&lt;/w:rPr&gt;&lt;m:t&gt;*100%&lt;/m:t&gt;&lt;/m:r&gt;&lt;/m:oMath&gt;&lt;/m:oMathPara&gt;&lt;/w:p&gt;&lt;w:sectPr wsp:rsidR=&quot;00000000&quot; wsp:rsidRPr=&quot;00067818&quot;&gt;&lt;w:pgSz w:w=&quot;12240&quot; w:h=&quot;15840&quot;/&gt;&lt;w:pgMar w:top=&quot;1417&quot; w:right=&quot;1417&quot; w:bottom=&quot;1417&quot; w:left=&quot;1417&quot; w:header=&quot;708&quot; w:footer=&quot;708&quot; w:gutter=&quot;0&quot;/&gt;&lt;w:cols w:space=&quot;708&quot;/&gt;&lt;/w:sectPr&gt;&lt;/wx:sect&gt;&lt;/w:body&gt;&lt;/w:wordDocument&gt;">
            <v:imagedata r:id="rId35" o:title="" chromakey="white"/>
          </v:shape>
        </w:pict>
      </w:r>
    </w:p>
    <w:p w:rsidR="00FB2534" w:rsidRPr="00DE39E2" w:rsidRDefault="00FB2534" w:rsidP="00670A55">
      <w:pPr>
        <w:pStyle w:val="GOMnormal"/>
      </w:pPr>
      <w:r w:rsidRPr="00DE39E2">
        <w:t>gdzie:</w:t>
      </w:r>
    </w:p>
    <w:p w:rsidR="00FB2534" w:rsidRDefault="00FB2534" w:rsidP="00670A55">
      <w:pPr>
        <w:pStyle w:val="GOMnormal"/>
      </w:pPr>
      <w:r>
        <w:t>E(x) – emisja CO</w:t>
      </w:r>
      <w:r>
        <w:rPr>
          <w:vertAlign w:val="subscript"/>
        </w:rPr>
        <w:t>2</w:t>
      </w:r>
      <w:r>
        <w:t xml:space="preserve"> w roku „x”; E(x) = M(x)·W(x),</w:t>
      </w:r>
    </w:p>
    <w:p w:rsidR="00FB2534" w:rsidRPr="00CC4C14" w:rsidRDefault="00FB2534" w:rsidP="00670A55">
      <w:pPr>
        <w:pStyle w:val="GOMnormal"/>
      </w:pPr>
      <w:r>
        <w:t>E(2013) - emisja CO</w:t>
      </w:r>
      <w:r>
        <w:rPr>
          <w:vertAlign w:val="subscript"/>
        </w:rPr>
        <w:t>2</w:t>
      </w:r>
      <w:r>
        <w:t xml:space="preserve"> w roku 2013; E(2013) = M(2013)·W(2013),</w:t>
      </w:r>
    </w:p>
    <w:p w:rsidR="00FB2534" w:rsidRDefault="00FB2534" w:rsidP="00670A55">
      <w:pPr>
        <w:pStyle w:val="GOMnormal"/>
      </w:pPr>
      <w:r>
        <w:t>M(x), M(2013) – ilości mieszkańców zamieszkujących gminę Malbork odpowiednio w latach „x” i 2013,</w:t>
      </w:r>
    </w:p>
    <w:p w:rsidR="00FB2534" w:rsidRDefault="00FB2534" w:rsidP="00670A55">
      <w:pPr>
        <w:pStyle w:val="GOMnormal"/>
      </w:pPr>
      <w:r>
        <w:t>W(x), W(2013) – wskaźniki emisji CO</w:t>
      </w:r>
      <w:r>
        <w:rPr>
          <w:vertAlign w:val="subscript"/>
        </w:rPr>
        <w:t>2</w:t>
      </w:r>
      <w:r>
        <w:t xml:space="preserve"> </w:t>
      </w:r>
      <w:r w:rsidRPr="00CC4C14">
        <w:t>per capita</w:t>
      </w:r>
      <w:r>
        <w:t xml:space="preserve"> odpowiednio w latach „x” i 2013.</w:t>
      </w:r>
    </w:p>
    <w:p w:rsidR="00FB2534" w:rsidRDefault="00FB2534" w:rsidP="00670A55">
      <w:pPr>
        <w:pStyle w:val="GOMnormal"/>
      </w:pPr>
      <w:r>
        <w:t>Korzystając z danych GUS dla gminy Malbork przeprowadzono obliczenia zmienności emisji CO</w:t>
      </w:r>
      <w:r>
        <w:rPr>
          <w:vertAlign w:val="subscript"/>
        </w:rPr>
        <w:t>2</w:t>
      </w:r>
      <w:r>
        <w:t xml:space="preserve"> w latach 1995-2013. Wyniki przedstawiono na wykresie poniżej w postaci procentowych różnic emisji w odniesieniu do roku bazowego 2013.</w:t>
      </w:r>
    </w:p>
    <w:p w:rsidR="00FB2534" w:rsidRDefault="00FB2534" w:rsidP="00670A55"/>
    <w:p w:rsidR="00FB2534" w:rsidRPr="006C5124" w:rsidRDefault="00FB2534" w:rsidP="00670A55">
      <w:pPr>
        <w:jc w:val="center"/>
      </w:pPr>
      <w:r>
        <w:rPr>
          <w:noProof/>
        </w:rPr>
        <w:pict>
          <v:shape id="_x0000_i1047" type="#_x0000_t75" style="width:363.75pt;height:207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">
            <v:imagedata r:id="rId36" o:title=""/>
            <o:lock v:ext="edit" aspectratio="f"/>
          </v:shape>
        </w:pict>
      </w:r>
    </w:p>
    <w:p w:rsidR="00FB2534" w:rsidRDefault="00FB2534" w:rsidP="00670A55">
      <w:pPr>
        <w:pStyle w:val="GOMpodpistab"/>
      </w:pPr>
      <w:bookmarkStart w:id="189" w:name="_Toc422133289"/>
      <w:r>
        <w:t xml:space="preserve">Rysunek </w:t>
      </w:r>
      <w:r>
        <w:fldChar w:fldCharType="begin"/>
      </w:r>
      <w:r>
        <w:instrText xml:space="preserve"> SEQ Rysunek \* ARABIC </w:instrText>
      </w:r>
      <w:r>
        <w:fldChar w:fldCharType="separate"/>
      </w:r>
      <w:r>
        <w:rPr>
          <w:noProof/>
        </w:rPr>
        <w:t>16</w:t>
      </w:r>
      <w:r>
        <w:fldChar w:fldCharType="end"/>
      </w:r>
      <w:r>
        <w:t>. Zmiany emisji CO</w:t>
      </w:r>
      <w:r w:rsidRPr="00E81D89">
        <w:rPr>
          <w:vertAlign w:val="subscript"/>
        </w:rPr>
        <w:t>2</w:t>
      </w:r>
      <w:r>
        <w:t xml:space="preserve"> w gminie Malbork w latach 1995 – 2013, w stosunku do roku bazowego 2013 [%] (źródło: opracowanie własne na podstawie danych GUS)</w:t>
      </w:r>
      <w:bookmarkEnd w:id="189"/>
    </w:p>
    <w:p w:rsidR="00FB2534" w:rsidRDefault="00FB2534" w:rsidP="00670A55">
      <w:pPr>
        <w:pStyle w:val="GOMnormal"/>
      </w:pPr>
      <w:r>
        <w:t>Uzyskane wyniki prowadzą do następujących wniosków:</w:t>
      </w:r>
    </w:p>
    <w:p w:rsidR="00FB2534" w:rsidRPr="00B05FD7" w:rsidRDefault="00FB2534" w:rsidP="00407562">
      <w:pPr>
        <w:pStyle w:val="GOMwypkt"/>
        <w:numPr>
          <w:ilvl w:val="0"/>
          <w:numId w:val="21"/>
        </w:numPr>
        <w:ind w:left="568" w:hanging="284"/>
      </w:pPr>
      <w:r w:rsidRPr="00B05FD7">
        <w:t>emisja CO</w:t>
      </w:r>
      <w:r w:rsidRPr="00B05FD7">
        <w:rPr>
          <w:vertAlign w:val="subscript"/>
        </w:rPr>
        <w:t>2</w:t>
      </w:r>
      <w:r w:rsidRPr="00B05FD7">
        <w:t xml:space="preserve"> z obszaru gminy </w:t>
      </w:r>
      <w:r>
        <w:t xml:space="preserve">Malbork </w:t>
      </w:r>
      <w:r w:rsidRPr="00B05FD7">
        <w:t>w roku 19</w:t>
      </w:r>
      <w:r>
        <w:t>96 była</w:t>
      </w:r>
      <w:r w:rsidRPr="00B05FD7">
        <w:t xml:space="preserve"> na podobnym poziomie co </w:t>
      </w:r>
      <w:r>
        <w:t xml:space="preserve">dla </w:t>
      </w:r>
      <w:r w:rsidRPr="00B05FD7">
        <w:t>rok</w:t>
      </w:r>
      <w:r>
        <w:t>u bazowego</w:t>
      </w:r>
      <w:r w:rsidRPr="00B05FD7">
        <w:t>;</w:t>
      </w:r>
    </w:p>
    <w:p w:rsidR="00FB2534" w:rsidRPr="00B05FD7" w:rsidRDefault="00FB2534" w:rsidP="00407562">
      <w:pPr>
        <w:pStyle w:val="GOMwypkt"/>
        <w:numPr>
          <w:ilvl w:val="0"/>
          <w:numId w:val="21"/>
        </w:numPr>
        <w:ind w:left="568" w:hanging="284"/>
      </w:pPr>
      <w:r w:rsidRPr="00B05FD7">
        <w:t>zasadnicze obniżenie emisji CO</w:t>
      </w:r>
      <w:r w:rsidRPr="00B05FD7">
        <w:rPr>
          <w:vertAlign w:val="subscript"/>
        </w:rPr>
        <w:t>2</w:t>
      </w:r>
      <w:r w:rsidRPr="00B05FD7">
        <w:t xml:space="preserve"> nast</w:t>
      </w:r>
      <w:r>
        <w:t>ąpiło w latach 1997</w:t>
      </w:r>
      <w:r w:rsidRPr="00B05FD7">
        <w:t>-2002;</w:t>
      </w:r>
    </w:p>
    <w:p w:rsidR="00FB2534" w:rsidRPr="00B05FD7" w:rsidRDefault="00FB2534" w:rsidP="00407562">
      <w:pPr>
        <w:pStyle w:val="GOMwypkt"/>
        <w:numPr>
          <w:ilvl w:val="0"/>
          <w:numId w:val="21"/>
        </w:numPr>
        <w:ind w:left="568" w:hanging="284"/>
      </w:pPr>
      <w:r w:rsidRPr="00B05FD7">
        <w:t xml:space="preserve">w latach 2002-2013 </w:t>
      </w:r>
      <w:r>
        <w:t>nastąpił sukcesywny wzrost emisji CO</w:t>
      </w:r>
      <w:r>
        <w:rPr>
          <w:vertAlign w:val="subscript"/>
        </w:rPr>
        <w:t xml:space="preserve">2 </w:t>
      </w:r>
      <w:r>
        <w:t>do roku bazowego</w:t>
      </w:r>
      <w:r w:rsidRPr="00B05FD7">
        <w:t>.</w:t>
      </w:r>
    </w:p>
    <w:p w:rsidR="00FB2534" w:rsidRDefault="00FB2534" w:rsidP="00EA51C7">
      <w:pPr>
        <w:spacing w:before="240"/>
        <w:jc w:val="both"/>
        <w:rPr>
          <w:rFonts w:ascii="Calibri" w:hAnsi="Calibri"/>
          <w:sz w:val="20"/>
          <w:szCs w:val="20"/>
        </w:rPr>
      </w:pPr>
      <w:r w:rsidRPr="002F1D04">
        <w:rPr>
          <w:rFonts w:ascii="Calibri" w:hAnsi="Calibri"/>
          <w:sz w:val="20"/>
          <w:szCs w:val="20"/>
        </w:rPr>
        <w:t>W celu określenia zużycia energii w latach poprzedzających rok inwentaryzacji (2013</w:t>
      </w:r>
      <w:r w:rsidRPr="00D14799">
        <w:rPr>
          <w:rFonts w:ascii="Calibri" w:hAnsi="Calibri"/>
          <w:sz w:val="20"/>
          <w:szCs w:val="20"/>
        </w:rPr>
        <w:t xml:space="preserve">) </w:t>
      </w:r>
      <w:r w:rsidRPr="00B370C5">
        <w:rPr>
          <w:rFonts w:ascii="Calibri" w:hAnsi="Calibri"/>
          <w:sz w:val="20"/>
          <w:szCs w:val="20"/>
        </w:rPr>
        <w:t xml:space="preserve">w gminie </w:t>
      </w:r>
      <w:r>
        <w:rPr>
          <w:rFonts w:ascii="Calibri" w:hAnsi="Calibri"/>
          <w:sz w:val="20"/>
          <w:szCs w:val="20"/>
        </w:rPr>
        <w:t>Malbork</w:t>
      </w:r>
      <w:r w:rsidRPr="002F1D04">
        <w:rPr>
          <w:rFonts w:ascii="Calibri" w:hAnsi="Calibri"/>
          <w:sz w:val="20"/>
          <w:szCs w:val="20"/>
        </w:rPr>
        <w:t xml:space="preserve"> przyjęto założenie, że wielkość ta jest skorelowana z liczbą mieszkańców gminy oraz aktualnym (na dany rok) wskaźnikiem zużycia energii </w:t>
      </w:r>
      <w:r w:rsidRPr="00297D74">
        <w:rPr>
          <w:rFonts w:ascii="Calibri" w:hAnsi="Calibri"/>
          <w:sz w:val="20"/>
          <w:szCs w:val="20"/>
        </w:rPr>
        <w:t>per capita.</w:t>
      </w:r>
      <w:r w:rsidRPr="002F1D04">
        <w:rPr>
          <w:rFonts w:ascii="Calibri" w:hAnsi="Calibri"/>
          <w:sz w:val="20"/>
          <w:szCs w:val="20"/>
        </w:rPr>
        <w:t xml:space="preserve"> Przebieg zmienności wskaźnika w latach 1990-2013 wyznaczono na podstawie danych GUS oraz Banku Światowego.</w:t>
      </w:r>
    </w:p>
    <w:p w:rsidR="00FB2534" w:rsidRPr="002F1D04" w:rsidRDefault="00FB2534" w:rsidP="00EA51C7">
      <w:pPr>
        <w:jc w:val="both"/>
        <w:rPr>
          <w:rFonts w:ascii="Calibri" w:hAnsi="Calibri"/>
          <w:sz w:val="20"/>
          <w:szCs w:val="20"/>
        </w:rPr>
      </w:pPr>
    </w:p>
    <w:p w:rsidR="00FB2534" w:rsidRPr="002F1D04" w:rsidRDefault="00FB2534" w:rsidP="00EA51C7">
      <w:pPr>
        <w:jc w:val="center"/>
        <w:rPr>
          <w:rFonts w:ascii="Calibri" w:hAnsi="Calibri"/>
          <w:sz w:val="20"/>
          <w:szCs w:val="20"/>
        </w:rPr>
      </w:pPr>
      <w:r w:rsidRPr="003D1163">
        <w:rPr>
          <w:rFonts w:ascii="Calibri" w:hAnsi="Calibri"/>
          <w:noProof/>
          <w:sz w:val="20"/>
          <w:szCs w:val="20"/>
        </w:rPr>
        <w:pict>
          <v:shape id="_x0000_i1048" type="#_x0000_t75" style="width:5in;height:3in;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">
            <v:imagedata r:id="rId37" o:title=""/>
            <o:lock v:ext="edit" aspectratio="f"/>
          </v:shape>
        </w:pict>
      </w:r>
    </w:p>
    <w:p w:rsidR="00FB2534" w:rsidRPr="00122DE5" w:rsidRDefault="00FB2534" w:rsidP="00EA51C7">
      <w:pPr>
        <w:pStyle w:val="GOMpodpistab"/>
      </w:pPr>
      <w:bookmarkStart w:id="190" w:name="_Toc422133290"/>
      <w:r w:rsidRPr="00122DE5">
        <w:t xml:space="preserve">Rysunek </w:t>
      </w:r>
      <w:r w:rsidRPr="00122DE5">
        <w:fldChar w:fldCharType="begin"/>
      </w:r>
      <w:r w:rsidRPr="00122DE5">
        <w:instrText xml:space="preserve"> SEQ Rysunek \* ARABIC </w:instrText>
      </w:r>
      <w:r w:rsidRPr="00122DE5">
        <w:fldChar w:fldCharType="separate"/>
      </w:r>
      <w:r>
        <w:rPr>
          <w:noProof/>
        </w:rPr>
        <w:t>17</w:t>
      </w:r>
      <w:r w:rsidRPr="00122DE5">
        <w:fldChar w:fldCharType="end"/>
      </w:r>
      <w:r w:rsidRPr="00122DE5">
        <w:t>. Wskaźnik zużycia energii per capita [MWh/rok] (źródło: opracowanie własne na podstawie danych GUS</w:t>
      </w:r>
      <w:r>
        <w:t xml:space="preserve"> i </w:t>
      </w:r>
      <w:r w:rsidRPr="00122DE5">
        <w:t>Banku Światowego)</w:t>
      </w:r>
      <w:bookmarkEnd w:id="190"/>
    </w:p>
    <w:p w:rsidR="00FB2534" w:rsidRPr="002F1D04" w:rsidRDefault="00FB2534" w:rsidP="00EA51C7">
      <w:pPr>
        <w:jc w:val="both"/>
        <w:rPr>
          <w:rFonts w:ascii="Calibri" w:hAnsi="Calibri"/>
          <w:sz w:val="20"/>
          <w:szCs w:val="20"/>
        </w:rPr>
      </w:pPr>
      <w:r w:rsidRPr="002F1D04">
        <w:rPr>
          <w:rFonts w:ascii="Calibri" w:hAnsi="Calibri"/>
          <w:sz w:val="20"/>
          <w:szCs w:val="20"/>
        </w:rPr>
        <w:t>Względną procentową zmianę zużycia energii w odniesieniu do roku 2013 określono wg następującego wzoru obliczeniowego:</w:t>
      </w:r>
    </w:p>
    <w:p w:rsidR="00FB2534" w:rsidRPr="002F1D04" w:rsidRDefault="00FB2534" w:rsidP="00EA51C7">
      <w:pPr>
        <w:rPr>
          <w:rFonts w:ascii="Calibri" w:hAnsi="Calibri"/>
          <w:sz w:val="20"/>
          <w:szCs w:val="20"/>
        </w:rPr>
      </w:pPr>
      <w:r>
        <w:pict>
          <v:shape id="_x0000_i1049" type="#_x0000_t75" style="width:129pt;height:24.75pt" equationxml="&lt;?xml version=&quot;1.0&quot; encoding=&quot;UTF-8&quot; standalone=&quot;yes&quot;?&gt;&#10;&#10;&#10;&#10;&#10;&#10;&#10;&#10;&#10;&#10;&#10;&#10;&#10;&#10;&#10;&#10;&lt;?mso-application progid=&quot;Word.Document&quot;?&gt;&#10;&#10;&#10;&#10;&#10;&#10;&#10;&#10;&#10;&#10;&#10;&#10;&#10;&#10;&#10;&#10;&lt;w:wordDocument xmlns:aml=&quot;http://schemas.microsoft.com/aml/2001/core&quot; xmlns:wpc=&quot;http://schemas.microsoft.com/office/word/2010/wordprocessingCanvas&quot; xmlns:dt=&quot;uuid:C2F41010-65B3-11d1-A29F-00AA00C14882&quot; xmlns:mc=&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ne=&quot;http://schemas.microsoft.com/office/word/2006/wordml&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4&lt;/o:Version&gt;&lt;/o:DocumentProperties&gt;&lt;w:docPr&gt;&lt;w:view w:val=&quot;print&quot;/&gt;&lt;w:zoom w:percent=&quot;100&quot;/&gt;&lt;w:mirrorMargins/&gt;&lt;w:stylePaneFormatFilter w:val=&quot;3F01&quot;/&gt;&lt;w:defaultTabStop w:val=&quot;709&quot;/&gt;&lt;w:hyphenationZone w:val=&quot;425&quot;/&gt;&lt;w:evenAndOddHeaders/&gt;&lt;w:drawingGridHorizontalSpacing w:val=&quot;120&quot;/&gt;&lt;w:displayHorizontalDrawingGridEvery w:val=&quot;2&quot;/&gt;&lt;w:punctuationKerning/&gt;&lt;w:characterSpacingControl w:val=&quot;DontCompress&quot;/&gt;&lt;w:optimizeForBrowser/&gt;&lt;w:relyOnVML/&gt;&lt;w:allowPNG/&gt;&lt;w:validateAgainstSchema/&gt;&lt;w:saveInvalidXML w:val=&quot;off&quot;/&gt;&lt;w:ignoreMixedContent w:val=&quot;off&quot;/&gt;&lt;w:alwaysShowPlaceholderText w:val=&quot;off&quot;/&gt;&lt;w:compat&gt;&lt;w:breakWrappedTables/&gt;&lt;w:snapToGridInCell/&gt;&lt;w:wrapTextWithPunct/&gt;&lt;w:useAsianBreakRules/&gt;&lt;w:dontGrowAutofit/&gt;&lt;/w:compat&gt;&lt;wsp:rsids&gt;&lt;wsp:rsidRoot wsp:val=&quot;00996401&quot;/&gt;&lt;wsp:rsid wsp:val=&quot;00000093&quot;/&gt;&lt;wsp:rsid wsp:val=&quot;000012EC&quot;/&gt;&lt;wsp:rsid wsp:val=&quot;000013CA&quot;/&gt;&lt;wsp:rsid wsp:val=&quot;0000143F&quot;/&gt;&lt;wsp:rsid wsp:val=&quot;00001A05&quot;/&gt;&lt;wsp:rsid wsp:val=&quot;00001F29&quot;/&gt;&lt;wsp:rsid wsp:val=&quot;0000253A&quot;/&gt;&lt;wsp:rsid wsp:val=&quot;0000273E&quot;/&gt;&lt;wsp:rsid wsp:val=&quot;00002821&quot;/&gt;&lt;wsp:rsid wsp:val=&quot;00002947&quot;/&gt;&lt;wsp:rsid wsp:val=&quot;00002EE4&quot;/&gt;&lt;wsp:rsid wsp:val=&quot;00003019&quot;/&gt;&lt;wsp:rsid wsp:val=&quot;000032F2&quot;/&gt;&lt;wsp:rsid wsp:val=&quot;00003F46&quot;/&gt;&lt;wsp:rsid wsp:val=&quot;00003FAB&quot;/&gt;&lt;wsp:rsid wsp:val=&quot;000051F2&quot;/&gt;&lt;wsp:rsid wsp:val=&quot;000054B9&quot;/&gt;&lt;wsp:rsid wsp:val=&quot;000055CE&quot;/&gt;&lt;wsp:rsid wsp:val=&quot;00005D2F&quot;/&gt;&lt;wsp:rsid wsp:val=&quot;00005D30&quot;/&gt;&lt;wsp:rsid wsp:val=&quot;000062DD&quot;/&gt;&lt;wsp:rsid wsp:val=&quot;00007501&quot;/&gt;&lt;wsp:rsid wsp:val=&quot;0000797A&quot;/&gt;&lt;wsp:rsid wsp:val=&quot;00007C86&quot;/&gt;&lt;wsp:rsid wsp:val=&quot;00007D78&quot;/&gt;&lt;wsp:rsid wsp:val=&quot;000101F6&quot;/&gt;&lt;wsp:rsid wsp:val=&quot;00010D87&quot;/&gt;&lt;wsp:rsid wsp:val=&quot;0001133B&quot;/&gt;&lt;wsp:rsid wsp:val=&quot;000116AA&quot;/&gt;&lt;wsp:rsid wsp:val=&quot;0001197B&quot;/&gt;&lt;wsp:rsid wsp:val=&quot;00011B13&quot;/&gt;&lt;wsp:rsid wsp:val=&quot;00011B55&quot;/&gt;&lt;wsp:rsid wsp:val=&quot;00011FB9&quot;/&gt;&lt;wsp:rsid wsp:val=&quot;000129CF&quot;/&gt;&lt;wsp:rsid wsp:val=&quot;0001377B&quot;/&gt;&lt;wsp:rsid wsp:val=&quot;00013A65&quot;/&gt;&lt;wsp:rsid wsp:val=&quot;00013F43&quot;/&gt;&lt;wsp:rsid wsp:val=&quot;00013F64&quot;/&gt;&lt;wsp:rsid wsp:val=&quot;0001411D&quot;/&gt;&lt;wsp:rsid wsp:val=&quot;0001419D&quot;/&gt;&lt;wsp:rsid wsp:val=&quot;000142E0&quot;/&gt;&lt;wsp:rsid wsp:val=&quot;00014856&quot;/&gt;&lt;wsp:rsid wsp:val=&quot;00014DC3&quot;/&gt;&lt;wsp:rsid wsp:val=&quot;00014DE4&quot;/&gt;&lt;wsp:rsid wsp:val=&quot;0001501E&quot;/&gt;&lt;wsp:rsid wsp:val=&quot;00015032&quot;/&gt;&lt;wsp:rsid wsp:val=&quot;0001505F&quot;/&gt;&lt;wsp:rsid wsp:val=&quot;00015370&quot;/&gt;&lt;wsp:rsid wsp:val=&quot;00015C25&quot;/&gt;&lt;wsp:rsid wsp:val=&quot;00015F9C&quot;/&gt;&lt;wsp:rsid wsp:val=&quot;000164E6&quot;/&gt;&lt;wsp:rsid wsp:val=&quot;0001728A&quot;/&gt;&lt;wsp:rsid wsp:val=&quot;00017388&quot;/&gt;&lt;wsp:rsid wsp:val=&quot;0001772D&quot;/&gt;&lt;wsp:rsid wsp:val=&quot;00017F1C&quot;/&gt;&lt;wsp:rsid wsp:val=&quot;00017F74&quot;/&gt;&lt;wsp:rsid wsp:val=&quot;0002066A&quot;/&gt;&lt;wsp:rsid wsp:val=&quot;00020A00&quot;/&gt;&lt;wsp:rsid wsp:val=&quot;00021282&quot;/&gt;&lt;wsp:rsid wsp:val=&quot;000217B1&quot;/&gt;&lt;wsp:rsid wsp:val=&quot;00021CDA&quot;/&gt;&lt;wsp:rsid wsp:val=&quot;00022C3D&quot;/&gt;&lt;wsp:rsid wsp:val=&quot;00022DCF&quot;/&gt;&lt;wsp:rsid wsp:val=&quot;000231D9&quot;/&gt;&lt;wsp:rsid wsp:val=&quot;00023E0A&quot;/&gt;&lt;wsp:rsid wsp:val=&quot;000240C7&quot;/&gt;&lt;wsp:rsid wsp:val=&quot;00024183&quot;/&gt;&lt;wsp:rsid wsp:val=&quot;0002459B&quot;/&gt;&lt;wsp:rsid wsp:val=&quot;00024A2C&quot;/&gt;&lt;wsp:rsid wsp:val=&quot;00024B1F&quot;/&gt;&lt;wsp:rsid wsp:val=&quot;00026271&quot;/&gt;&lt;wsp:rsid wsp:val=&quot;00026B95&quot;/&gt;&lt;wsp:rsid wsp:val=&quot;00026D7B&quot;/&gt;&lt;wsp:rsid wsp:val=&quot;0002752B&quot;/&gt;&lt;wsp:rsid wsp:val=&quot;00030068&quot;/&gt;&lt;wsp:rsid wsp:val=&quot;0003046A&quot;/&gt;&lt;wsp:rsid wsp:val=&quot;000318CF&quot;/&gt;&lt;wsp:rsid wsp:val=&quot;00032005&quot;/&gt;&lt;wsp:rsid wsp:val=&quot;00032026&quot;/&gt;&lt;wsp:rsid wsp:val=&quot;00032292&quot;/&gt;&lt;wsp:rsid wsp:val=&quot;00033058&quot;/&gt;&lt;wsp:rsid wsp:val=&quot;00033590&quot;/&gt;&lt;wsp:rsid wsp:val=&quot;0003506A&quot;/&gt;&lt;wsp:rsid wsp:val=&quot;00035773&quot;/&gt;&lt;wsp:rsid wsp:val=&quot;00036F7A&quot;/&gt;&lt;wsp:rsid wsp:val=&quot;000371E6&quot;/&gt;&lt;wsp:rsid wsp:val=&quot;0004004F&quot;/&gt;&lt;wsp:rsid wsp:val=&quot;000405AA&quot;/&gt;&lt;wsp:rsid wsp:val=&quot;000410FE&quot;/&gt;&lt;wsp:rsid wsp:val=&quot;0004140C&quot;/&gt;&lt;wsp:rsid wsp:val=&quot;00042485&quot;/&gt;&lt;wsp:rsid wsp:val=&quot;000424F4&quot;/&gt;&lt;wsp:rsid wsp:val=&quot;00042E82&quot;/&gt;&lt;wsp:rsid wsp:val=&quot;000430CE&quot;/&gt;&lt;wsp:rsid wsp:val=&quot;00043629&quot;/&gt;&lt;wsp:rsid wsp:val=&quot;00043C63&quot;/&gt;&lt;wsp:rsid wsp:val=&quot;000446E9&quot;/&gt;&lt;wsp:rsid wsp:val=&quot;00044EF1&quot;/&gt;&lt;wsp:rsid wsp:val=&quot;0004517A&quot;/&gt;&lt;wsp:rsid wsp:val=&quot;000459E3&quot;/&gt;&lt;wsp:rsid wsp:val=&quot;000468E6&quot;/&gt;&lt;wsp:rsid wsp:val=&quot;00047165&quot;/&gt;&lt;wsp:rsid wsp:val=&quot;000471AF&quot;/&gt;&lt;wsp:rsid wsp:val=&quot;000477E0&quot;/&gt;&lt;wsp:rsid wsp:val=&quot;000479AA&quot;/&gt;&lt;wsp:rsid wsp:val=&quot;00047B5E&quot;/&gt;&lt;wsp:rsid wsp:val=&quot;00047BA9&quot;/&gt;&lt;wsp:rsid wsp:val=&quot;00047D09&quot;/&gt;&lt;wsp:rsid wsp:val=&quot;00050674&quot;/&gt;&lt;wsp:rsid wsp:val=&quot;00050922&quot;/&gt;&lt;wsp:rsid wsp:val=&quot;000518C6&quot;/&gt;&lt;wsp:rsid wsp:val=&quot;00052291&quot;/&gt;&lt;wsp:rsid wsp:val=&quot;0005318D&quot;/&gt;&lt;wsp:rsid wsp:val=&quot;0005386E&quot;/&gt;&lt;wsp:rsid wsp:val=&quot;00053F6F&quot;/&gt;&lt;wsp:rsid wsp:val=&quot;00054541&quot;/&gt;&lt;wsp:rsid wsp:val=&quot;000546AD&quot;/&gt;&lt;wsp:rsid wsp:val=&quot;000546BF&quot;/&gt;&lt;wsp:rsid wsp:val=&quot;00054B89&quot;/&gt;&lt;wsp:rsid wsp:val=&quot;00055016&quot;/&gt;&lt;wsp:rsid wsp:val=&quot;00055DD8&quot;/&gt;&lt;wsp:rsid wsp:val=&quot;0005600A&quot;/&gt;&lt;wsp:rsid wsp:val=&quot;00056236&quot;/&gt;&lt;wsp:rsid wsp:val=&quot;000562E7&quot;/&gt;&lt;wsp:rsid wsp:val=&quot;000565D3&quot;/&gt;&lt;wsp:rsid wsp:val=&quot;000566C2&quot;/&gt;&lt;wsp:rsid wsp:val=&quot;00056DF1&quot;/&gt;&lt;wsp:rsid wsp:val=&quot;00056E4A&quot;/&gt;&lt;wsp:rsid wsp:val=&quot;00057110&quot;/&gt;&lt;wsp:rsid wsp:val=&quot;0005717E&quot;/&gt;&lt;wsp:rsid wsp:val=&quot;00057525&quot;/&gt;&lt;wsp:rsid wsp:val=&quot;0005798D&quot;/&gt;&lt;wsp:rsid wsp:val=&quot;00057CF4&quot;/&gt;&lt;wsp:rsid wsp:val=&quot;000617A9&quot;/&gt;&lt;wsp:rsid wsp:val=&quot;000623D3&quot;/&gt;&lt;wsp:rsid wsp:val=&quot;0006263F&quot;/&gt;&lt;wsp:rsid wsp:val=&quot;00062E6E&quot;/&gt;&lt;wsp:rsid wsp:val=&quot;00063712&quot;/&gt;&lt;wsp:rsid wsp:val=&quot;00063A35&quot;/&gt;&lt;wsp:rsid wsp:val=&quot;00063C20&quot;/&gt;&lt;wsp:rsid wsp:val=&quot;00063C6F&quot;/&gt;&lt;wsp:rsid wsp:val=&quot;00064140&quot;/&gt;&lt;wsp:rsid wsp:val=&quot;00064F32&quot;/&gt;&lt;wsp:rsid wsp:val=&quot;000652DB&quot;/&gt;&lt;wsp:rsid wsp:val=&quot;00065B9D&quot;/&gt;&lt;wsp:rsid wsp:val=&quot;00066154&quot;/&gt;&lt;wsp:rsid wsp:val=&quot;0006627B&quot;/&gt;&lt;wsp:rsid wsp:val=&quot;000665F6&quot;/&gt;&lt;wsp:rsid wsp:val=&quot;000669DB&quot;/&gt;&lt;wsp:rsid wsp:val=&quot;00067412&quot;/&gt;&lt;wsp:rsid wsp:val=&quot;000677C3&quot;/&gt;&lt;wsp:rsid wsp:val=&quot;00070027&quot;/&gt;&lt;wsp:rsid wsp:val=&quot;00070262&quot;/&gt;&lt;wsp:rsid wsp:val=&quot;00070DDE&quot;/&gt;&lt;wsp:rsid wsp:val=&quot;00070F81&quot;/&gt;&lt;wsp:rsid wsp:val=&quot;0007112C&quot;/&gt;&lt;wsp:rsid wsp:val=&quot;00071269&quot;/&gt;&lt;wsp:rsid wsp:val=&quot;000714D7&quot;/&gt;&lt;wsp:rsid wsp:val=&quot;00071F15&quot;/&gt;&lt;wsp:rsid wsp:val=&quot;00072052&quot;/&gt;&lt;wsp:rsid wsp:val=&quot;000728AA&quot;/&gt;&lt;wsp:rsid wsp:val=&quot;00073070&quot;/&gt;&lt;wsp:rsid wsp:val=&quot;000731E2&quot;/&gt;&lt;wsp:rsid wsp:val=&quot;000735F6&quot;/&gt;&lt;wsp:rsid wsp:val=&quot;00073EB9&quot;/&gt;&lt;wsp:rsid wsp:val=&quot;00074357&quot;/&gt;&lt;wsp:rsid wsp:val=&quot;000745EB&quot;/&gt;&lt;wsp:rsid wsp:val=&quot;00074A34&quot;/&gt;&lt;wsp:rsid wsp:val=&quot;00074FEB&quot;/&gt;&lt;wsp:rsid wsp:val=&quot;000758CB&quot;/&gt;&lt;wsp:rsid wsp:val=&quot;000759E0&quot;/&gt;&lt;wsp:rsid wsp:val=&quot;00075D1D&quot;/&gt;&lt;wsp:rsid wsp:val=&quot;000764A6&quot;/&gt;&lt;wsp:rsid wsp:val=&quot;000764C0&quot;/&gt;&lt;wsp:rsid wsp:val=&quot;0007675D&quot;/&gt;&lt;wsp:rsid wsp:val=&quot;0007691B&quot;/&gt;&lt;wsp:rsid wsp:val=&quot;00076D12&quot;/&gt;&lt;wsp:rsid wsp:val=&quot;0007755B&quot;/&gt;&lt;wsp:rsid wsp:val=&quot;00077D90&quot;/&gt;&lt;wsp:rsid wsp:val=&quot;00077E65&quot;/&gt;&lt;wsp:rsid wsp:val=&quot;0008025D&quot;/&gt;&lt;wsp:rsid wsp:val=&quot;000804A7&quot;/&gt;&lt;wsp:rsid wsp:val=&quot;00080601&quot;/&gt;&lt;wsp:rsid wsp:val=&quot;0008072A&quot;/&gt;&lt;wsp:rsid wsp:val=&quot;00081413&quot;/&gt;&lt;wsp:rsid wsp:val=&quot;00081B0D&quot;/&gt;&lt;wsp:rsid wsp:val=&quot;0008218B&quot;/&gt;&lt;wsp:rsid wsp:val=&quot;000824F4&quot;/&gt;&lt;wsp:rsid wsp:val=&quot;0008260B&quot;/&gt;&lt;wsp:rsid wsp:val=&quot;000829CE&quot;/&gt;&lt;wsp:rsid wsp:val=&quot;00082DF3&quot;/&gt;&lt;wsp:rsid wsp:val=&quot;000831FF&quot;/&gt;&lt;wsp:rsid wsp:val=&quot;00083501&quot;/&gt;&lt;wsp:rsid wsp:val=&quot;000839C7&quot;/&gt;&lt;wsp:rsid wsp:val=&quot;00083AD2&quot;/&gt;&lt;wsp:rsid wsp:val=&quot;00084219&quot;/&gt;&lt;wsp:rsid wsp:val=&quot;000842CA&quot;/&gt;&lt;wsp:rsid wsp:val=&quot;00084E25&quot;/&gt;&lt;wsp:rsid wsp:val=&quot;0008507D&quot;/&gt;&lt;wsp:rsid wsp:val=&quot;0008541F&quot;/&gt;&lt;wsp:rsid wsp:val=&quot;00085817&quot;/&gt;&lt;wsp:rsid wsp:val=&quot;00085D70&quot;/&gt;&lt;wsp:rsid wsp:val=&quot;00086821&quot;/&gt;&lt;wsp:rsid wsp:val=&quot;00086C46&quot;/&gt;&lt;wsp:rsid wsp:val=&quot;000873F5&quot;/&gt;&lt;wsp:rsid wsp:val=&quot;0008755E&quot;/&gt;&lt;wsp:rsid wsp:val=&quot;000902FB&quot;/&gt;&lt;wsp:rsid wsp:val=&quot;000904C6&quot;/&gt;&lt;wsp:rsid wsp:val=&quot;00090CF3&quot;/&gt;&lt;wsp:rsid wsp:val=&quot;00091390&quot;/&gt;&lt;wsp:rsid wsp:val=&quot;00091982&quot;/&gt;&lt;wsp:rsid wsp:val=&quot;000925D5&quot;/&gt;&lt;wsp:rsid wsp:val=&quot;0009297F&quot;/&gt;&lt;wsp:rsid wsp:val=&quot;00092DAE&quot;/&gt;&lt;wsp:rsid wsp:val=&quot;00092FE0&quot;/&gt;&lt;wsp:rsid wsp:val=&quot;00093897&quot;/&gt;&lt;wsp:rsid wsp:val=&quot;00093CB2&quot;/&gt;&lt;wsp:rsid wsp:val=&quot;00093D5F&quot;/&gt;&lt;wsp:rsid wsp:val=&quot;000946EA&quot;/&gt;&lt;wsp:rsid wsp:val=&quot;000947D1&quot;/&gt;&lt;wsp:rsid wsp:val=&quot;00094D70&quot;/&gt;&lt;wsp:rsid wsp:val=&quot;0009508B&quot;/&gt;&lt;wsp:rsid wsp:val=&quot;00095349&quot;/&gt;&lt;wsp:rsid wsp:val=&quot;000954C0&quot;/&gt;&lt;wsp:rsid wsp:val=&quot;00095569&quot;/&gt;&lt;wsp:rsid wsp:val=&quot;00096B0E&quot;/&gt;&lt;wsp:rsid wsp:val=&quot;0009711F&quot;/&gt;&lt;wsp:rsid wsp:val=&quot;0009748C&quot;/&gt;&lt;wsp:rsid wsp:val=&quot;00097718&quot;/&gt;&lt;wsp:rsid wsp:val=&quot;00097C4A&quot;/&gt;&lt;wsp:rsid wsp:val=&quot;00097D8A&quot;/&gt;&lt;wsp:rsid wsp:val=&quot;000A0AB7&quot;/&gt;&lt;wsp:rsid wsp:val=&quot;000A119B&quot;/&gt;&lt;wsp:rsid wsp:val=&quot;000A11DA&quot;/&gt;&lt;wsp:rsid wsp:val=&quot;000A1BC7&quot;/&gt;&lt;wsp:rsid wsp:val=&quot;000A1C94&quot;/&gt;&lt;wsp:rsid wsp:val=&quot;000A1D69&quot;/&gt;&lt;wsp:rsid wsp:val=&quot;000A1FB0&quot;/&gt;&lt;wsp:rsid wsp:val=&quot;000A29AE&quot;/&gt;&lt;wsp:rsid wsp:val=&quot;000A2A04&quot;/&gt;&lt;wsp:rsid wsp:val=&quot;000A32D5&quot;/&gt;&lt;wsp:rsid wsp:val=&quot;000A3979&quot;/&gt;&lt;wsp:rsid wsp:val=&quot;000A51F9&quot;/&gt;&lt;wsp:rsid wsp:val=&quot;000A5BF2&quot;/&gt;&lt;wsp:rsid wsp:val=&quot;000A5C77&quot;/&gt;&lt;wsp:rsid wsp:val=&quot;000A5D7B&quot;/&gt;&lt;wsp:rsid wsp:val=&quot;000A6B80&quot;/&gt;&lt;wsp:rsid wsp:val=&quot;000A6C75&quot;/&gt;&lt;wsp:rsid wsp:val=&quot;000A6E57&quot;/&gt;&lt;wsp:rsid wsp:val=&quot;000A6FFE&quot;/&gt;&lt;wsp:rsid wsp:val=&quot;000A7123&quot;/&gt;&lt;wsp:rsid wsp:val=&quot;000A73E6&quot;/&gt;&lt;wsp:rsid wsp:val=&quot;000A7C1F&quot;/&gt;&lt;wsp:rsid wsp:val=&quot;000A7D3E&quot;/&gt;&lt;wsp:rsid wsp:val=&quot;000B08AA&quot;/&gt;&lt;wsp:rsid wsp:val=&quot;000B2456&quot;/&gt;&lt;wsp:rsid wsp:val=&quot;000B2731&quot;/&gt;&lt;wsp:rsid wsp:val=&quot;000B289B&quot;/&gt;&lt;wsp:rsid wsp:val=&quot;000B29CB&quot;/&gt;&lt;wsp:rsid wsp:val=&quot;000B2B14&quot;/&gt;&lt;wsp:rsid wsp:val=&quot;000B3314&quot;/&gt;&lt;wsp:rsid wsp:val=&quot;000B371B&quot;/&gt;&lt;wsp:rsid wsp:val=&quot;000B397D&quot;/&gt;&lt;wsp:rsid wsp:val=&quot;000B3CC6&quot;/&gt;&lt;wsp:rsid wsp:val=&quot;000B483F&quot;/&gt;&lt;wsp:rsid wsp:val=&quot;000B4B46&quot;/&gt;&lt;wsp:rsid wsp:val=&quot;000B50E4&quot;/&gt;&lt;wsp:rsid wsp:val=&quot;000B50F3&quot;/&gt;&lt;wsp:rsid wsp:val=&quot;000B5362&quot;/&gt;&lt;wsp:rsid wsp:val=&quot;000B5598&quot;/&gt;&lt;wsp:rsid wsp:val=&quot;000B5A84&quot;/&gt;&lt;wsp:rsid wsp:val=&quot;000B5B84&quot;/&gt;&lt;wsp:rsid wsp:val=&quot;000B6BB6&quot;/&gt;&lt;wsp:rsid wsp:val=&quot;000B70FF&quot;/&gt;&lt;wsp:rsid wsp:val=&quot;000B7365&quot;/&gt;&lt;wsp:rsid wsp:val=&quot;000B75B4&quot;/&gt;&lt;wsp:rsid wsp:val=&quot;000B7752&quot;/&gt;&lt;wsp:rsid wsp:val=&quot;000B7B5F&quot;/&gt;&lt;wsp:rsid wsp:val=&quot;000C0677&quot;/&gt;&lt;wsp:rsid wsp:val=&quot;000C12DF&quot;/&gt;&lt;wsp:rsid wsp:val=&quot;000C2CA0&quot;/&gt;&lt;wsp:rsid wsp:val=&quot;000C2F85&quot;/&gt;&lt;wsp:rsid wsp:val=&quot;000C338A&quot;/&gt;&lt;wsp:rsid wsp:val=&quot;000C36BD&quot;/&gt;&lt;wsp:rsid wsp:val=&quot;000C43B7&quot;/&gt;&lt;wsp:rsid wsp:val=&quot;000C4ACC&quot;/&gt;&lt;wsp:rsid wsp:val=&quot;000C4B11&quot;/&gt;&lt;wsp:rsid wsp:val=&quot;000C4E74&quot;/&gt;&lt;wsp:rsid wsp:val=&quot;000C519B&quot;/&gt;&lt;wsp:rsid wsp:val=&quot;000C5353&quot;/&gt;&lt;wsp:rsid wsp:val=&quot;000C5527&quot;/&gt;&lt;wsp:rsid wsp:val=&quot;000C626C&quot;/&gt;&lt;wsp:rsid wsp:val=&quot;000C6809&quot;/&gt;&lt;wsp:rsid wsp:val=&quot;000C76B2&quot;/&gt;&lt;wsp:rsid wsp:val=&quot;000C7A76&quot;/&gt;&lt;wsp:rsid wsp:val=&quot;000D05AE&quot;/&gt;&lt;wsp:rsid wsp:val=&quot;000D05BB&quot;/&gt;&lt;wsp:rsid wsp:val=&quot;000D0A02&quot;/&gt;&lt;wsp:rsid wsp:val=&quot;000D13AC&quot;/&gt;&lt;wsp:rsid wsp:val=&quot;000D1D7B&quot;/&gt;&lt;wsp:rsid wsp:val=&quot;000D22CD&quot;/&gt;&lt;wsp:rsid wsp:val=&quot;000D2774&quot;/&gt;&lt;wsp:rsid wsp:val=&quot;000D29F9&quot;/&gt;&lt;wsp:rsid wsp:val=&quot;000D2A97&quot;/&gt;&lt;wsp:rsid wsp:val=&quot;000D2F68&quot;/&gt;&lt;wsp:rsid wsp:val=&quot;000D2FFC&quot;/&gt;&lt;wsp:rsid wsp:val=&quot;000D33B5&quot;/&gt;&lt;wsp:rsid wsp:val=&quot;000D33FC&quot;/&gt;&lt;wsp:rsid wsp:val=&quot;000D3420&quot;/&gt;&lt;wsp:rsid wsp:val=&quot;000D3BB2&quot;/&gt;&lt;wsp:rsid wsp:val=&quot;000D42D9&quot;/&gt;&lt;wsp:rsid wsp:val=&quot;000D4464&quot;/&gt;&lt;wsp:rsid wsp:val=&quot;000D4891&quot;/&gt;&lt;wsp:rsid wsp:val=&quot;000D55D1&quot;/&gt;&lt;wsp:rsid wsp:val=&quot;000D5E0F&quot;/&gt;&lt;wsp:rsid wsp:val=&quot;000D6143&quot;/&gt;&lt;wsp:rsid wsp:val=&quot;000D6605&quot;/&gt;&lt;wsp:rsid wsp:val=&quot;000E0380&quot;/&gt;&lt;wsp:rsid wsp:val=&quot;000E05E3&quot;/&gt;&lt;wsp:rsid wsp:val=&quot;000E07F6&quot;/&gt;&lt;wsp:rsid wsp:val=&quot;000E166F&quot;/&gt;&lt;wsp:rsid wsp:val=&quot;000E16EA&quot;/&gt;&lt;wsp:rsid wsp:val=&quot;000E1D96&quot;/&gt;&lt;wsp:rsid wsp:val=&quot;000E1ECA&quot;/&gt;&lt;wsp:rsid wsp:val=&quot;000E22D6&quot;/&gt;&lt;wsp:rsid wsp:val=&quot;000E259C&quot;/&gt;&lt;wsp:rsid wsp:val=&quot;000E3063&quot;/&gt;&lt;wsp:rsid wsp:val=&quot;000E328C&quot;/&gt;&lt;wsp:rsid wsp:val=&quot;000E34DB&quot;/&gt;&lt;wsp:rsid wsp:val=&quot;000E4691&quot;/&gt;&lt;wsp:rsid wsp:val=&quot;000E47B3&quot;/&gt;&lt;wsp:rsid wsp:val=&quot;000E4F4B&quot;/&gt;&lt;wsp:rsid wsp:val=&quot;000E5444&quot;/&gt;&lt;wsp:rsid wsp:val=&quot;000E5863&quot;/&gt;&lt;wsp:rsid wsp:val=&quot;000E5C1A&quot;/&gt;&lt;wsp:rsid wsp:val=&quot;000E5E17&quot;/&gt;&lt;wsp:rsid wsp:val=&quot;000E6A8D&quot;/&gt;&lt;wsp:rsid wsp:val=&quot;000E750A&quot;/&gt;&lt;wsp:rsid wsp:val=&quot;000E751A&quot;/&gt;&lt;wsp:rsid wsp:val=&quot;000E785A&quot;/&gt;&lt;wsp:rsid wsp:val=&quot;000E7C40&quot;/&gt;&lt;wsp:rsid wsp:val=&quot;000F060D&quot;/&gt;&lt;wsp:rsid wsp:val=&quot;000F0BC2&quot;/&gt;&lt;wsp:rsid wsp:val=&quot;000F0C56&quot;/&gt;&lt;wsp:rsid wsp:val=&quot;000F0EFD&quot;/&gt;&lt;wsp:rsid wsp:val=&quot;000F18D1&quot;/&gt;&lt;wsp:rsid wsp:val=&quot;000F1A16&quot;/&gt;&lt;wsp:rsid wsp:val=&quot;000F22AB&quot;/&gt;&lt;wsp:rsid wsp:val=&quot;000F2367&quot;/&gt;&lt;wsp:rsid wsp:val=&quot;000F236B&quot;/&gt;&lt;wsp:rsid wsp:val=&quot;000F28BF&quot;/&gt;&lt;wsp:rsid wsp:val=&quot;000F2BEE&quot;/&gt;&lt;wsp:rsid wsp:val=&quot;000F2DD7&quot;/&gt;&lt;wsp:rsid wsp:val=&quot;000F3810&quot;/&gt;&lt;wsp:rsid wsp:val=&quot;000F40AF&quot;/&gt;&lt;wsp:rsid wsp:val=&quot;000F4C70&quot;/&gt;&lt;wsp:rsid wsp:val=&quot;000F4CF4&quot;/&gt;&lt;wsp:rsid wsp:val=&quot;000F59D1&quot;/&gt;&lt;wsp:rsid wsp:val=&quot;000F5C1B&quot;/&gt;&lt;wsp:rsid wsp:val=&quot;000F5CFF&quot;/&gt;&lt;wsp:rsid wsp:val=&quot;000F6762&quot;/&gt;&lt;wsp:rsid wsp:val=&quot;000F6AC0&quot;/&gt;&lt;wsp:rsid wsp:val=&quot;000F6B8A&quot;/&gt;&lt;wsp:rsid wsp:val=&quot;000F6BEB&quot;/&gt;&lt;wsp:rsid wsp:val=&quot;000F70CA&quot;/&gt;&lt;wsp:rsid wsp:val=&quot;000F7498&quot;/&gt;&lt;wsp:rsid wsp:val=&quot;00101037&quot;/&gt;&lt;wsp:rsid wsp:val=&quot;00101A82&quot;/&gt;&lt;wsp:rsid wsp:val=&quot;00101F05&quot;/&gt;&lt;wsp:rsid wsp:val=&quot;00101FFC&quot;/&gt;&lt;wsp:rsid wsp:val=&quot;0010331D&quot;/&gt;&lt;wsp:rsid wsp:val=&quot;001042AC&quot;/&gt;&lt;wsp:rsid wsp:val=&quot;001045D6&quot;/&gt;&lt;wsp:rsid wsp:val=&quot;001053C3&quot;/&gt;&lt;wsp:rsid wsp:val=&quot;00105A9B&quot;/&gt;&lt;wsp:rsid wsp:val=&quot;00105DA4&quot;/&gt;&lt;wsp:rsid wsp:val=&quot;00105DB8&quot;/&gt;&lt;wsp:rsid wsp:val=&quot;001065F6&quot;/&gt;&lt;wsp:rsid wsp:val=&quot;00107150&quot;/&gt;&lt;wsp:rsid wsp:val=&quot;001079FD&quot;/&gt;&lt;wsp:rsid wsp:val=&quot;0011086B&quot;/&gt;&lt;wsp:rsid wsp:val=&quot;00110D63&quot;/&gt;&lt;wsp:rsid wsp:val=&quot;00110F55&quot;/&gt;&lt;wsp:rsid wsp:val=&quot;00111630&quot;/&gt;&lt;wsp:rsid wsp:val=&quot;00111828&quot;/&gt;&lt;wsp:rsid wsp:val=&quot;001118F6&quot;/&gt;&lt;wsp:rsid wsp:val=&quot;001125CD&quot;/&gt;&lt;wsp:rsid wsp:val=&quot;0011313B&quot;/&gt;&lt;wsp:rsid wsp:val=&quot;0011326E&quot;/&gt;&lt;wsp:rsid wsp:val=&quot;00113398&quot;/&gt;&lt;wsp:rsid wsp:val=&quot;001138DC&quot;/&gt;&lt;wsp:rsid wsp:val=&quot;00113C72&quot;/&gt;&lt;wsp:rsid wsp:val=&quot;00114CC1&quot;/&gt;&lt;wsp:rsid wsp:val=&quot;00114E35&quot;/&gt;&lt;wsp:rsid wsp:val=&quot;00115644&quot;/&gt;&lt;wsp:rsid wsp:val=&quot;00115E31&quot;/&gt;&lt;wsp:rsid wsp:val=&quot;0011606D&quot;/&gt;&lt;wsp:rsid wsp:val=&quot;001162BB&quot;/&gt;&lt;wsp:rsid wsp:val=&quot;00116896&quot;/&gt;&lt;wsp:rsid wsp:val=&quot;00116D62&quot;/&gt;&lt;wsp:rsid wsp:val=&quot;00116E71&quot;/&gt;&lt;wsp:rsid wsp:val=&quot;0011731B&quot;/&gt;&lt;wsp:rsid wsp:val=&quot;001174C7&quot;/&gt;&lt;wsp:rsid wsp:val=&quot;00117807&quot;/&gt;&lt;wsp:rsid wsp:val=&quot;00117DF4&quot;/&gt;&lt;wsp:rsid wsp:val=&quot;00117F45&quot;/&gt;&lt;wsp:rsid wsp:val=&quot;0012099E&quot;/&gt;&lt;wsp:rsid wsp:val=&quot;00120D48&quot;/&gt;&lt;wsp:rsid wsp:val=&quot;00121392&quot;/&gt;&lt;wsp:rsid wsp:val=&quot;00121980&quot;/&gt;&lt;wsp:rsid wsp:val=&quot;00121BF6&quot;/&gt;&lt;wsp:rsid wsp:val=&quot;00122BA8&quot;/&gt;&lt;wsp:rsid wsp:val=&quot;00123A0F&quot;/&gt;&lt;wsp:rsid wsp:val=&quot;00123E87&quot;/&gt;&lt;wsp:rsid wsp:val=&quot;00124057&quot;/&gt;&lt;wsp:rsid wsp:val=&quot;00124106&quot;/&gt;&lt;wsp:rsid wsp:val=&quot;00124708&quot;/&gt;&lt;wsp:rsid wsp:val=&quot;00124B61&quot;/&gt;&lt;wsp:rsid wsp:val=&quot;001252BC&quot;/&gt;&lt;wsp:rsid wsp:val=&quot;00125B08&quot;/&gt;&lt;wsp:rsid wsp:val=&quot;00125DC0&quot;/&gt;&lt;wsp:rsid wsp:val=&quot;00126DA2&quot;/&gt;&lt;wsp:rsid wsp:val=&quot;001271E1&quot;/&gt;&lt;wsp:rsid wsp:val=&quot;00127760&quot;/&gt;&lt;wsp:rsid wsp:val=&quot;00127EC7&quot;/&gt;&lt;wsp:rsid wsp:val=&quot;00130D75&quot;/&gt;&lt;wsp:rsid wsp:val=&quot;001315C3&quot;/&gt;&lt;wsp:rsid wsp:val=&quot;00132016&quot;/&gt;&lt;wsp:rsid wsp:val=&quot;001324F4&quot;/&gt;&lt;wsp:rsid wsp:val=&quot;00132840&quot;/&gt;&lt;wsp:rsid wsp:val=&quot;00132B26&quot;/&gt;&lt;wsp:rsid wsp:val=&quot;00133291&quot;/&gt;&lt;wsp:rsid wsp:val=&quot;001334F9&quot;/&gt;&lt;wsp:rsid wsp:val=&quot;00133BC9&quot;/&gt;&lt;wsp:rsid wsp:val=&quot;00133FED&quot;/&gt;&lt;wsp:rsid wsp:val=&quot;00134A53&quot;/&gt;&lt;wsp:rsid wsp:val=&quot;00134D76&quot;/&gt;&lt;wsp:rsid wsp:val=&quot;00134FC6&quot;/&gt;&lt;wsp:rsid wsp:val=&quot;00135D6E&quot;/&gt;&lt;wsp:rsid wsp:val=&quot;00136578&quot;/&gt;&lt;wsp:rsid wsp:val=&quot;00136C81&quot;/&gt;&lt;wsp:rsid wsp:val=&quot;001371DC&quot;/&gt;&lt;wsp:rsid wsp:val=&quot;00137309&quot;/&gt;&lt;wsp:rsid wsp:val=&quot;001401BA&quot;/&gt;&lt;wsp:rsid wsp:val=&quot;001403C0&quot;/&gt;&lt;wsp:rsid wsp:val=&quot;00140872&quot;/&gt;&lt;wsp:rsid wsp:val=&quot;001411A0&quot;/&gt;&lt;wsp:rsid wsp:val=&quot;0014165B&quot;/&gt;&lt;wsp:rsid wsp:val=&quot;00141D73&quot;/&gt;&lt;wsp:rsid wsp:val=&quot;00142067&quot;/&gt;&lt;wsp:rsid wsp:val=&quot;001422BE&quot;/&gt;&lt;wsp:rsid wsp:val=&quot;00142C8E&quot;/&gt;&lt;wsp:rsid wsp:val=&quot;00143419&quot;/&gt;&lt;wsp:rsid wsp:val=&quot;00143AD3&quot;/&gt;&lt;wsp:rsid wsp:val=&quot;001449F7&quot;/&gt;&lt;wsp:rsid wsp:val=&quot;001454E1&quot;/&gt;&lt;wsp:rsid wsp:val=&quot;0014569D&quot;/&gt;&lt;wsp:rsid wsp:val=&quot;00145709&quot;/&gt;&lt;wsp:rsid wsp:val=&quot;00146996&quot;/&gt;&lt;wsp:rsid wsp:val=&quot;001474A0&quot;/&gt;&lt;wsp:rsid wsp:val=&quot;001479D8&quot;/&gt;&lt;wsp:rsid wsp:val=&quot;00147D2B&quot;/&gt;&lt;wsp:rsid wsp:val=&quot;00147E9D&quot;/&gt;&lt;wsp:rsid wsp:val=&quot;001500ED&quot;/&gt;&lt;wsp:rsid wsp:val=&quot;00150B27&quot;/&gt;&lt;wsp:rsid wsp:val=&quot;00152269&quot;/&gt;&lt;wsp:rsid wsp:val=&quot;00152ABB&quot;/&gt;&lt;wsp:rsid wsp:val=&quot;00152E37&quot;/&gt;&lt;wsp:rsid wsp:val=&quot;001532DB&quot;/&gt;&lt;wsp:rsid wsp:val=&quot;00153B49&quot;/&gt;&lt;wsp:rsid wsp:val=&quot;00154E89&quot;/&gt;&lt;wsp:rsid wsp:val=&quot;00154ECE&quot;/&gt;&lt;wsp:rsid wsp:val=&quot;0015558D&quot;/&gt;&lt;wsp:rsid wsp:val=&quot;00155ADE&quot;/&gt;&lt;wsp:rsid wsp:val=&quot;001560FD&quot;/&gt;&lt;wsp:rsid wsp:val=&quot;00156EFE&quot;/&gt;&lt;wsp:rsid wsp:val=&quot;00156FC5&quot;/&gt;&lt;wsp:rsid wsp:val=&quot;0016028C&quot;/&gt;&lt;wsp:rsid wsp:val=&quot;001603CB&quot;/&gt;&lt;wsp:rsid wsp:val=&quot;0016112C&quot;/&gt;&lt;wsp:rsid wsp:val=&quot;00161AA7&quot;/&gt;&lt;wsp:rsid wsp:val=&quot;00161BCD&quot;/&gt;&lt;wsp:rsid wsp:val=&quot;00161D4E&quot;/&gt;&lt;wsp:rsid wsp:val=&quot;00161FD1&quot;/&gt;&lt;wsp:rsid wsp:val=&quot;001620FC&quot;/&gt;&lt;wsp:rsid wsp:val=&quot;001625F8&quot;/&gt;&lt;wsp:rsid wsp:val=&quot;00162A17&quot;/&gt;&lt;wsp:rsid wsp:val=&quot;00163694&quot;/&gt;&lt;wsp:rsid wsp:val=&quot;00163A44&quot;/&gt;&lt;wsp:rsid wsp:val=&quot;00163CDF&quot;/&gt;&lt;wsp:rsid wsp:val=&quot;00163E5F&quot;/&gt;&lt;wsp:rsid wsp:val=&quot;0016434E&quot;/&gt;&lt;wsp:rsid wsp:val=&quot;00164B42&quot;/&gt;&lt;wsp:rsid wsp:val=&quot;001654D6&quot;/&gt;&lt;wsp:rsid wsp:val=&quot;00166A42&quot;/&gt;&lt;wsp:rsid wsp:val=&quot;00167C2F&quot;/&gt;&lt;wsp:rsid wsp:val=&quot;00167CE8&quot;/&gt;&lt;wsp:rsid wsp:val=&quot;00170246&quot;/&gt;&lt;wsp:rsid wsp:val=&quot;0017045A&quot;/&gt;&lt;wsp:rsid wsp:val=&quot;001705C5&quot;/&gt;&lt;wsp:rsid wsp:val=&quot;00170DDE&quot;/&gt;&lt;wsp:rsid wsp:val=&quot;0017177B&quot;/&gt;&lt;wsp:rsid wsp:val=&quot;00172261&quot;/&gt;&lt;wsp:rsid wsp:val=&quot;00172559&quot;/&gt;&lt;wsp:rsid wsp:val=&quot;00172946&quot;/&gt;&lt;wsp:rsid wsp:val=&quot;001729DB&quot;/&gt;&lt;wsp:rsid wsp:val=&quot;00172D18&quot;/&gt;&lt;wsp:rsid wsp:val=&quot;00172E45&quot;/&gt;&lt;wsp:rsid wsp:val=&quot;00173685&quot;/&gt;&lt;wsp:rsid wsp:val=&quot;001737EF&quot;/&gt;&lt;wsp:rsid wsp:val=&quot;00173C6B&quot;/&gt;&lt;wsp:rsid wsp:val=&quot;00173DD7&quot;/&gt;&lt;wsp:rsid wsp:val=&quot;00174E9A&quot;/&gt;&lt;wsp:rsid wsp:val=&quot;00174EC9&quot;/&gt;&lt;wsp:rsid wsp:val=&quot;00174F17&quot;/&gt;&lt;wsp:rsid wsp:val=&quot;00175B2D&quot;/&gt;&lt;wsp:rsid wsp:val=&quot;00175BFB&quot;/&gt;&lt;wsp:rsid wsp:val=&quot;00175E7D&quot;/&gt;&lt;wsp:rsid wsp:val=&quot;0017658A&quot;/&gt;&lt;wsp:rsid wsp:val=&quot;00176869&quot;/&gt;&lt;wsp:rsid wsp:val=&quot;00177F2E&quot;/&gt;&lt;wsp:rsid wsp:val=&quot;001800D3&quot;/&gt;&lt;wsp:rsid wsp:val=&quot;001800E4&quot;/&gt;&lt;wsp:rsid wsp:val=&quot;001801B2&quot;/&gt;&lt;wsp:rsid wsp:val=&quot;001802D6&quot;/&gt;&lt;wsp:rsid wsp:val=&quot;001804AC&quot;/&gt;&lt;wsp:rsid wsp:val=&quot;001806BA&quot;/&gt;&lt;wsp:rsid wsp:val=&quot;00180A32&quot;/&gt;&lt;wsp:rsid wsp:val=&quot;0018118D&quot;/&gt;&lt;wsp:rsid wsp:val=&quot;00181A9A&quot;/&gt;&lt;wsp:rsid wsp:val=&quot;00181E3A&quot;/&gt;&lt;wsp:rsid wsp:val=&quot;00182475&quot;/&gt;&lt;wsp:rsid wsp:val=&quot;00182601&quot;/&gt;&lt;wsp:rsid wsp:val=&quot;00182C43&quot;/&gt;&lt;wsp:rsid wsp:val=&quot;0018302D&quot;/&gt;&lt;wsp:rsid wsp:val=&quot;001834FF&quot;/&gt;&lt;wsp:rsid wsp:val=&quot;00183BB0&quot;/&gt;&lt;wsp:rsid wsp:val=&quot;00183BE3&quot;/&gt;&lt;wsp:rsid wsp:val=&quot;0018422B&quot;/&gt;&lt;wsp:rsid wsp:val=&quot;00184245&quot;/&gt;&lt;wsp:rsid wsp:val=&quot;001848F7&quot;/&gt;&lt;wsp:rsid wsp:val=&quot;0018527A&quot;/&gt;&lt;wsp:rsid wsp:val=&quot;00185DB6&quot;/&gt;&lt;wsp:rsid wsp:val=&quot;001863BB&quot;/&gt;&lt;wsp:rsid wsp:val=&quot;00186B80&quot;/&gt;&lt;wsp:rsid wsp:val=&quot;00186BD3&quot;/&gt;&lt;wsp:rsid wsp:val=&quot;00186DBE&quot;/&gt;&lt;wsp:rsid wsp:val=&quot;00187394&quot;/&gt;&lt;wsp:rsid wsp:val=&quot;00187B9F&quot;/&gt;&lt;wsp:rsid wsp:val=&quot;0019011A&quot;/&gt;&lt;wsp:rsid wsp:val=&quot;0019031B&quot;/&gt;&lt;wsp:rsid wsp:val=&quot;00190C8B&quot;/&gt;&lt;wsp:rsid wsp:val=&quot;00191C08&quot;/&gt;&lt;wsp:rsid wsp:val=&quot;001928B8&quot;/&gt;&lt;wsp:rsid wsp:val=&quot;00193456&quot;/&gt;&lt;wsp:rsid wsp:val=&quot;00193D16&quot;/&gt;&lt;wsp:rsid wsp:val=&quot;001944BB&quot;/&gt;&lt;wsp:rsid wsp:val=&quot;00195384&quot;/&gt;&lt;wsp:rsid wsp:val=&quot;00195A84&quot;/&gt;&lt;wsp:rsid wsp:val=&quot;00195F47&quot;/&gt;&lt;wsp:rsid wsp:val=&quot;00196007&quot;/&gt;&lt;wsp:rsid wsp:val=&quot;001960B8&quot;/&gt;&lt;wsp:rsid wsp:val=&quot;0019622C&quot;/&gt;&lt;wsp:rsid wsp:val=&quot;00196405&quot;/&gt;&lt;wsp:rsid wsp:val=&quot;0019644D&quot;/&gt;&lt;wsp:rsid wsp:val=&quot;0019682E&quot;/&gt;&lt;wsp:rsid wsp:val=&quot;0019694A&quot;/&gt;&lt;wsp:rsid wsp:val=&quot;00196B82&quot;/&gt;&lt;wsp:rsid wsp:val=&quot;00197C58&quot;/&gt;&lt;wsp:rsid wsp:val=&quot;001A0DC7&quot;/&gt;&lt;wsp:rsid wsp:val=&quot;001A108F&quot;/&gt;&lt;wsp:rsid wsp:val=&quot;001A1309&quot;/&gt;&lt;wsp:rsid wsp:val=&quot;001A1B9D&quot;/&gt;&lt;wsp:rsid wsp:val=&quot;001A1C49&quot;/&gt;&lt;wsp:rsid wsp:val=&quot;001A1CB9&quot;/&gt;&lt;wsp:rsid wsp:val=&quot;001A1EB6&quot;/&gt;&lt;wsp:rsid wsp:val=&quot;001A2FEE&quot;/&gt;&lt;wsp:rsid wsp:val=&quot;001A3CDA&quot;/&gt;&lt;wsp:rsid wsp:val=&quot;001A47EE&quot;/&gt;&lt;wsp:rsid wsp:val=&quot;001A47FD&quot;/&gt;&lt;wsp:rsid wsp:val=&quot;001A498B&quot;/&gt;&lt;wsp:rsid wsp:val=&quot;001A570E&quot;/&gt;&lt;wsp:rsid wsp:val=&quot;001A5898&quot;/&gt;&lt;wsp:rsid wsp:val=&quot;001A60CF&quot;/&gt;&lt;wsp:rsid wsp:val=&quot;001A6360&quot;/&gt;&lt;wsp:rsid wsp:val=&quot;001A744D&quot;/&gt;&lt;wsp:rsid wsp:val=&quot;001A773F&quot;/&gt;&lt;wsp:rsid wsp:val=&quot;001A7A72&quot;/&gt;&lt;wsp:rsid wsp:val=&quot;001A7E13&quot;/&gt;&lt;wsp:rsid wsp:val=&quot;001B03A5&quot;/&gt;&lt;wsp:rsid wsp:val=&quot;001B07E6&quot;/&gt;&lt;wsp:rsid wsp:val=&quot;001B0845&quot;/&gt;&lt;wsp:rsid wsp:val=&quot;001B133B&quot;/&gt;&lt;wsp:rsid wsp:val=&quot;001B16BB&quot;/&gt;&lt;wsp:rsid wsp:val=&quot;001B16F3&quot;/&gt;&lt;wsp:rsid wsp:val=&quot;001B1795&quot;/&gt;&lt;wsp:rsid wsp:val=&quot;001B21A1&quot;/&gt;&lt;wsp:rsid wsp:val=&quot;001B273D&quot;/&gt;&lt;wsp:rsid wsp:val=&quot;001B2D21&quot;/&gt;&lt;wsp:rsid wsp:val=&quot;001B32D0&quot;/&gt;&lt;wsp:rsid wsp:val=&quot;001B3D4B&quot;/&gt;&lt;wsp:rsid wsp:val=&quot;001B3D7D&quot;/&gt;&lt;wsp:rsid wsp:val=&quot;001B4065&quot;/&gt;&lt;wsp:rsid wsp:val=&quot;001B42B5&quot;/&gt;&lt;wsp:rsid wsp:val=&quot;001B438F&quot;/&gt;&lt;wsp:rsid wsp:val=&quot;001B43B3&quot;/&gt;&lt;wsp:rsid wsp:val=&quot;001B4742&quot;/&gt;&lt;wsp:rsid wsp:val=&quot;001B479D&quot;/&gt;&lt;wsp:rsid wsp:val=&quot;001B53D4&quot;/&gt;&lt;wsp:rsid wsp:val=&quot;001B5675&quot;/&gt;&lt;wsp:rsid wsp:val=&quot;001B5A70&quot;/&gt;&lt;wsp:rsid wsp:val=&quot;001B61A0&quot;/&gt;&lt;wsp:rsid wsp:val=&quot;001B6AAC&quot;/&gt;&lt;wsp:rsid wsp:val=&quot;001B7117&quot;/&gt;&lt;wsp:rsid wsp:val=&quot;001C05BF&quot;/&gt;&lt;wsp:rsid wsp:val=&quot;001C0BF6&quot;/&gt;&lt;wsp:rsid wsp:val=&quot;001C0CC1&quot;/&gt;&lt;wsp:rsid wsp:val=&quot;001C0CC5&quot;/&gt;&lt;wsp:rsid wsp:val=&quot;001C1632&quot;/&gt;&lt;wsp:rsid wsp:val=&quot;001C17DC&quot;/&gt;&lt;wsp:rsid wsp:val=&quot;001C1913&quot;/&gt;&lt;wsp:rsid wsp:val=&quot;001C1AB1&quot;/&gt;&lt;wsp:rsid wsp:val=&quot;001C2738&quot;/&gt;&lt;wsp:rsid wsp:val=&quot;001C2744&quot;/&gt;&lt;wsp:rsid wsp:val=&quot;001C2ADE&quot;/&gt;&lt;wsp:rsid wsp:val=&quot;001C325C&quot;/&gt;&lt;wsp:rsid wsp:val=&quot;001C3B45&quot;/&gt;&lt;wsp:rsid wsp:val=&quot;001C4A21&quot;/&gt;&lt;wsp:rsid wsp:val=&quot;001C531F&quot;/&gt;&lt;wsp:rsid wsp:val=&quot;001C53B1&quot;/&gt;&lt;wsp:rsid wsp:val=&quot;001C53FF&quot;/&gt;&lt;wsp:rsid wsp:val=&quot;001C55B3&quot;/&gt;&lt;wsp:rsid wsp:val=&quot;001C5833&quot;/&gt;&lt;wsp:rsid wsp:val=&quot;001C5EFF&quot;/&gt;&lt;wsp:rsid wsp:val=&quot;001C60A7&quot;/&gt;&lt;wsp:rsid wsp:val=&quot;001C6BE8&quot;/&gt;&lt;wsp:rsid wsp:val=&quot;001C72CF&quot;/&gt;&lt;wsp:rsid wsp:val=&quot;001C73D2&quot;/&gt;&lt;wsp:rsid wsp:val=&quot;001C7FEF&quot;/&gt;&lt;wsp:rsid wsp:val=&quot;001C7FF5&quot;/&gt;&lt;wsp:rsid wsp:val=&quot;001D08C4&quot;/&gt;&lt;wsp:rsid wsp:val=&quot;001D0C9B&quot;/&gt;&lt;wsp:rsid wsp:val=&quot;001D162C&quot;/&gt;&lt;wsp:rsid wsp:val=&quot;001D1CF8&quot;/&gt;&lt;wsp:rsid wsp:val=&quot;001D1E94&quot;/&gt;&lt;wsp:rsid wsp:val=&quot;001D2174&quot;/&gt;&lt;wsp:rsid wsp:val=&quot;001D221A&quot;/&gt;&lt;wsp:rsid wsp:val=&quot;001D2276&quot;/&gt;&lt;wsp:rsid wsp:val=&quot;001D29DD&quot;/&gt;&lt;wsp:rsid wsp:val=&quot;001D2FF0&quot;/&gt;&lt;wsp:rsid wsp:val=&quot;001D3AE4&quot;/&gt;&lt;wsp:rsid wsp:val=&quot;001D3BC9&quot;/&gt;&lt;wsp:rsid wsp:val=&quot;001D42AD&quot;/&gt;&lt;wsp:rsid wsp:val=&quot;001D4AB7&quot;/&gt;&lt;wsp:rsid wsp:val=&quot;001D4AD6&quot;/&gt;&lt;wsp:rsid wsp:val=&quot;001D53B7&quot;/&gt;&lt;wsp:rsid wsp:val=&quot;001D6A64&quot;/&gt;&lt;wsp:rsid wsp:val=&quot;001D6E1A&quot;/&gt;&lt;wsp:rsid wsp:val=&quot;001D75ED&quot;/&gt;&lt;wsp:rsid wsp:val=&quot;001D7C81&quot;/&gt;&lt;wsp:rsid wsp:val=&quot;001D7EC7&quot;/&gt;&lt;wsp:rsid wsp:val=&quot;001E03DC&quot;/&gt;&lt;wsp:rsid wsp:val=&quot;001E098C&quot;/&gt;&lt;wsp:rsid wsp:val=&quot;001E0D37&quot;/&gt;&lt;wsp:rsid wsp:val=&quot;001E1008&quot;/&gt;&lt;wsp:rsid wsp:val=&quot;001E10C2&quot;/&gt;&lt;wsp:rsid wsp:val=&quot;001E11BE&quot;/&gt;&lt;wsp:rsid wsp:val=&quot;001E148E&quot;/&gt;&lt;wsp:rsid wsp:val=&quot;001E2255&quot;/&gt;&lt;wsp:rsid wsp:val=&quot;001E2C06&quot;/&gt;&lt;wsp:rsid wsp:val=&quot;001E2E30&quot;/&gt;&lt;wsp:rsid wsp:val=&quot;001E48FB&quot;/&gt;&lt;wsp:rsid wsp:val=&quot;001E4B05&quot;/&gt;&lt;wsp:rsid wsp:val=&quot;001E4C05&quot;/&gt;&lt;wsp:rsid wsp:val=&quot;001E4FEA&quot;/&gt;&lt;wsp:rsid wsp:val=&quot;001E534A&quot;/&gt;&lt;wsp:rsid wsp:val=&quot;001E53CE&quot;/&gt;&lt;wsp:rsid wsp:val=&quot;001E578C&quot;/&gt;&lt;wsp:rsid wsp:val=&quot;001E5D68&quot;/&gt;&lt;wsp:rsid wsp:val=&quot;001E6045&quot;/&gt;&lt;wsp:rsid wsp:val=&quot;001E65D7&quot;/&gt;&lt;wsp:rsid wsp:val=&quot;001E69C0&quot;/&gt;&lt;wsp:rsid wsp:val=&quot;001E6CE4&quot;/&gt;&lt;wsp:rsid wsp:val=&quot;001E7AEC&quot;/&gt;&lt;wsp:rsid wsp:val=&quot;001F0126&quot;/&gt;&lt;wsp:rsid wsp:val=&quot;001F072B&quot;/&gt;&lt;wsp:rsid wsp:val=&quot;001F0EFD&quot;/&gt;&lt;wsp:rsid wsp:val=&quot;001F1052&quot;/&gt;&lt;wsp:rsid wsp:val=&quot;001F13FF&quot;/&gt;&lt;wsp:rsid wsp:val=&quot;001F156B&quot;/&gt;&lt;wsp:rsid wsp:val=&quot;001F28AF&quot;/&gt;&lt;wsp:rsid wsp:val=&quot;001F2FD4&quot;/&gt;&lt;wsp:rsid wsp:val=&quot;001F3FE9&quot;/&gt;&lt;wsp:rsid wsp:val=&quot;001F424D&quot;/&gt;&lt;wsp:rsid wsp:val=&quot;001F4713&quot;/&gt;&lt;wsp:rsid wsp:val=&quot;001F4A80&quot;/&gt;&lt;wsp:rsid wsp:val=&quot;001F53EA&quot;/&gt;&lt;wsp:rsid wsp:val=&quot;001F5B51&quot;/&gt;&lt;wsp:rsid wsp:val=&quot;001F6015&quot;/&gt;&lt;wsp:rsid wsp:val=&quot;001F6ED9&quot;/&gt;&lt;wsp:rsid wsp:val=&quot;001F6FDA&quot;/&gt;&lt;wsp:rsid wsp:val=&quot;001F73B6&quot;/&gt;&lt;wsp:rsid wsp:val=&quot;001F74D4&quot;/&gt;&lt;wsp:rsid wsp:val=&quot;001F7744&quot;/&gt;&lt;wsp:rsid wsp:val=&quot;001F77E7&quot;/&gt;&lt;wsp:rsid wsp:val=&quot;001F7E1A&quot;/&gt;&lt;wsp:rsid wsp:val=&quot;0020015E&quot;/&gt;&lt;wsp:rsid wsp:val=&quot;00200846&quot;/&gt;&lt;wsp:rsid wsp:val=&quot;00200BA1&quot;/&gt;&lt;wsp:rsid wsp:val=&quot;00200EF2&quot;/&gt;&lt;wsp:rsid wsp:val=&quot;00200F26&quot;/&gt;&lt;wsp:rsid wsp:val=&quot;00200FFF&quot;/&gt;&lt;wsp:rsid wsp:val=&quot;00201495&quot;/&gt;&lt;wsp:rsid wsp:val=&quot;0020193A&quot;/&gt;&lt;wsp:rsid wsp:val=&quot;00201C5B&quot;/&gt;&lt;wsp:rsid wsp:val=&quot;0020235A&quot;/&gt;&lt;wsp:rsid wsp:val=&quot;00202958&quot;/&gt;&lt;wsp:rsid wsp:val=&quot;002030CE&quot;/&gt;&lt;wsp:rsid wsp:val=&quot;00203295&quot;/&gt;&lt;wsp:rsid wsp:val=&quot;002034F2&quot;/&gt;&lt;wsp:rsid wsp:val=&quot;00203611&quot;/&gt;&lt;wsp:rsid wsp:val=&quot;0020413B&quot;/&gt;&lt;wsp:rsid wsp:val=&quot;00204183&quot;/&gt;&lt;wsp:rsid wsp:val=&quot;00204354&quot;/&gt;&lt;wsp:rsid wsp:val=&quot;00204578&quot;/&gt;&lt;wsp:rsid wsp:val=&quot;00204B5E&quot;/&gt;&lt;wsp:rsid wsp:val=&quot;00204DBA&quot;/&gt;&lt;wsp:rsid wsp:val=&quot;0020506A&quot;/&gt;&lt;wsp:rsid wsp:val=&quot;00205579&quot;/&gt;&lt;wsp:rsid wsp:val=&quot;00206D1D&quot;/&gt;&lt;wsp:rsid wsp:val=&quot;00207AD3&quot;/&gt;&lt;wsp:rsid wsp:val=&quot;002109F5&quot;/&gt;&lt;wsp:rsid wsp:val=&quot;00210DAB&quot;/&gt;&lt;wsp:rsid wsp:val=&quot;002114BC&quot;/&gt;&lt;wsp:rsid wsp:val=&quot;002114DD&quot;/&gt;&lt;wsp:rsid wsp:val=&quot;00211936&quot;/&gt;&lt;wsp:rsid wsp:val=&quot;00211CD8&quot;/&gt;&lt;wsp:rsid wsp:val=&quot;002121C5&quot;/&gt;&lt;wsp:rsid wsp:val=&quot;00213059&quot;/&gt;&lt;wsp:rsid wsp:val=&quot;00213170&quot;/&gt;&lt;wsp:rsid wsp:val=&quot;0021392D&quot;/&gt;&lt;wsp:rsid wsp:val=&quot;00213A17&quot;/&gt;&lt;wsp:rsid wsp:val=&quot;00213C56&quot;/&gt;&lt;wsp:rsid wsp:val=&quot;002142B1&quot;/&gt;&lt;wsp:rsid wsp:val=&quot;002142CE&quot;/&gt;&lt;wsp:rsid wsp:val=&quot;002145D1&quot;/&gt;&lt;wsp:rsid wsp:val=&quot;002149A8&quot;/&gt;&lt;wsp:rsid wsp:val=&quot;00214D58&quot;/&gt;&lt;wsp:rsid wsp:val=&quot;00214EB3&quot;/&gt;&lt;wsp:rsid wsp:val=&quot;002152EB&quot;/&gt;&lt;wsp:rsid wsp:val=&quot;00215F6F&quot;/&gt;&lt;wsp:rsid wsp:val=&quot;00216270&quot;/&gt;&lt;wsp:rsid wsp:val=&quot;00216441&quot;/&gt;&lt;wsp:rsid wsp:val=&quot;00216894&quot;/&gt;&lt;wsp:rsid wsp:val=&quot;00216AC9&quot;/&gt;&lt;wsp:rsid wsp:val=&quot;002177EC&quot;/&gt;&lt;wsp:rsid wsp:val=&quot;002209BA&quot;/&gt;&lt;wsp:rsid wsp:val=&quot;00220F14&quot;/&gt;&lt;wsp:rsid wsp:val=&quot;002218FA&quot;/&gt;&lt;wsp:rsid wsp:val=&quot;00222BCC&quot;/&gt;&lt;wsp:rsid wsp:val=&quot;00222CAA&quot;/&gt;&lt;wsp:rsid wsp:val=&quot;00223BAD&quot;/&gt;&lt;wsp:rsid wsp:val=&quot;00223C63&quot;/&gt;&lt;wsp:rsid wsp:val=&quot;00223D25&quot;/&gt;&lt;wsp:rsid wsp:val=&quot;00223DFA&quot;/&gt;&lt;wsp:rsid wsp:val=&quot;00224096&quot;/&gt;&lt;wsp:rsid wsp:val=&quot;0022534B&quot;/&gt;&lt;wsp:rsid wsp:val=&quot;00225451&quot;/&gt;&lt;wsp:rsid wsp:val=&quot;00225558&quot;/&gt;&lt;wsp:rsid wsp:val=&quot;00225809&quot;/&gt;&lt;wsp:rsid wsp:val=&quot;002260D4&quot;/&gt;&lt;wsp:rsid wsp:val=&quot;002265AA&quot;/&gt;&lt;wsp:rsid wsp:val=&quot;00226EF2&quot;/&gt;&lt;wsp:rsid wsp:val=&quot;002271CB&quot;/&gt;&lt;wsp:rsid wsp:val=&quot;002274B4&quot;/&gt;&lt;wsp:rsid wsp:val=&quot;002278D2&quot;/&gt;&lt;wsp:rsid wsp:val=&quot;00227EBA&quot;/&gt;&lt;wsp:rsid wsp:val=&quot;00230065&quot;/&gt;&lt;wsp:rsid wsp:val=&quot;00230192&quot;/&gt;&lt;wsp:rsid wsp:val=&quot;0023081C&quot;/&gt;&lt;wsp:rsid wsp:val=&quot;00230D39&quot;/&gt;&lt;wsp:rsid wsp:val=&quot;00231A04&quot;/&gt;&lt;wsp:rsid wsp:val=&quot;00231E15&quot;/&gt;&lt;wsp:rsid wsp:val=&quot;0023224F&quot;/&gt;&lt;wsp:rsid wsp:val=&quot;002325FB&quot;/&gt;&lt;wsp:rsid wsp:val=&quot;0023265A&quot;/&gt;&lt;wsp:rsid wsp:val=&quot;0023283F&quot;/&gt;&lt;wsp:rsid wsp:val=&quot;00232A8D&quot;/&gt;&lt;wsp:rsid wsp:val=&quot;00232E31&quot;/&gt;&lt;wsp:rsid wsp:val=&quot;0023307F&quot;/&gt;&lt;wsp:rsid wsp:val=&quot;002330AA&quot;/&gt;&lt;wsp:rsid wsp:val=&quot;00234471&quot;/&gt;&lt;wsp:rsid wsp:val=&quot;00234876&quot;/&gt;&lt;wsp:rsid wsp:val=&quot;00234AE0&quot;/&gt;&lt;wsp:rsid wsp:val=&quot;00234EE0&quot;/&gt;&lt;wsp:rsid wsp:val=&quot;002354DD&quot;/&gt;&lt;wsp:rsid wsp:val=&quot;00235AFE&quot;/&gt;&lt;wsp:rsid wsp:val=&quot;00235DF0&quot;/&gt;&lt;wsp:rsid wsp:val=&quot;00235FDD&quot;/&gt;&lt;wsp:rsid wsp:val=&quot;002362FF&quot;/&gt;&lt;wsp:rsid wsp:val=&quot;0023672F&quot;/&gt;&lt;wsp:rsid wsp:val=&quot;00237037&quot;/&gt;&lt;wsp:rsid wsp:val=&quot;00237171&quot;/&gt;&lt;wsp:rsid wsp:val=&quot;002379EB&quot;/&gt;&lt;wsp:rsid wsp:val=&quot;00237C6F&quot;/&gt;&lt;wsp:rsid wsp:val=&quot;00240571&quot;/&gt;&lt;wsp:rsid wsp:val=&quot;002409BA&quot;/&gt;&lt;wsp:rsid wsp:val=&quot;00241768&quot;/&gt;&lt;wsp:rsid wsp:val=&quot;002419D6&quot;/&gt;&lt;wsp:rsid wsp:val=&quot;00241B11&quot;/&gt;&lt;wsp:rsid wsp:val=&quot;00241B67&quot;/&gt;&lt;wsp:rsid wsp:val=&quot;00241E71&quot;/&gt;&lt;wsp:rsid wsp:val=&quot;00241FF7&quot;/&gt;&lt;wsp:rsid wsp:val=&quot;0024273F&quot;/&gt;&lt;wsp:rsid wsp:val=&quot;00242873&quot;/&gt;&lt;wsp:rsid wsp:val=&quot;00242AB9&quot;/&gt;&lt;wsp:rsid wsp:val=&quot;00242C53&quot;/&gt;&lt;wsp:rsid wsp:val=&quot;00242D68&quot;/&gt;&lt;wsp:rsid wsp:val=&quot;0024346C&quot;/&gt;&lt;wsp:rsid wsp:val=&quot;00243CF1&quot;/&gt;&lt;wsp:rsid wsp:val=&quot;00243DBB&quot;/&gt;&lt;wsp:rsid wsp:val=&quot;002442D8&quot;/&gt;&lt;wsp:rsid wsp:val=&quot;00244BC2&quot;/&gt;&lt;wsp:rsid wsp:val=&quot;0024565B&quot;/&gt;&lt;wsp:rsid wsp:val=&quot;00245A12&quot;/&gt;&lt;wsp:rsid wsp:val=&quot;00245ACE&quot;/&gt;&lt;wsp:rsid wsp:val=&quot;00245D8F&quot;/&gt;&lt;wsp:rsid wsp:val=&quot;00246008&quot;/&gt;&lt;wsp:rsid wsp:val=&quot;00246115&quot;/&gt;&lt;wsp:rsid wsp:val=&quot;00246BC1&quot;/&gt;&lt;wsp:rsid wsp:val=&quot;00246F58&quot;/&gt;&lt;wsp:rsid wsp:val=&quot;0024717A&quot;/&gt;&lt;wsp:rsid wsp:val=&quot;0024724F&quot;/&gt;&lt;wsp:rsid wsp:val=&quot;00247EA1&quot;/&gt;&lt;wsp:rsid wsp:val=&quot;0025010F&quot;/&gt;&lt;wsp:rsid wsp:val=&quot;00250783&quot;/&gt;&lt;wsp:rsid wsp:val=&quot;002508D5&quot;/&gt;&lt;wsp:rsid wsp:val=&quot;00250A78&quot;/&gt;&lt;wsp:rsid wsp:val=&quot;00251145&quot;/&gt;&lt;wsp:rsid wsp:val=&quot;002511E0&quot;/&gt;&lt;wsp:rsid wsp:val=&quot;002513E7&quot;/&gt;&lt;wsp:rsid wsp:val=&quot;00251BC9&quot;/&gt;&lt;wsp:rsid wsp:val=&quot;002523D1&quot;/&gt;&lt;wsp:rsid wsp:val=&quot;002527FE&quot;/&gt;&lt;wsp:rsid wsp:val=&quot;0025289C&quot;/&gt;&lt;wsp:rsid wsp:val=&quot;002529F0&quot;/&gt;&lt;wsp:rsid wsp:val=&quot;00253329&quot;/&gt;&lt;wsp:rsid wsp:val=&quot;00253855&quot;/&gt;&lt;wsp:rsid wsp:val=&quot;00254553&quot;/&gt;&lt;wsp:rsid wsp:val=&quot;00254637&quot;/&gt;&lt;wsp:rsid wsp:val=&quot;002548D2&quot;/&gt;&lt;wsp:rsid wsp:val=&quot;00254A18&quot;/&gt;&lt;wsp:rsid wsp:val=&quot;002554A2&quot;/&gt;&lt;wsp:rsid wsp:val=&quot;00255636&quot;/&gt;&lt;wsp:rsid wsp:val=&quot;00255E62&quot;/&gt;&lt;wsp:rsid wsp:val=&quot;00255FAC&quot;/&gt;&lt;wsp:rsid wsp:val=&quot;002563FA&quot;/&gt;&lt;wsp:rsid wsp:val=&quot;0025663F&quot;/&gt;&lt;wsp:rsid wsp:val=&quot;00256B72&quot;/&gt;&lt;wsp:rsid wsp:val=&quot;002570E4&quot;/&gt;&lt;wsp:rsid wsp:val=&quot;0025759E&quot;/&gt;&lt;wsp:rsid wsp:val=&quot;00257968&quot;/&gt;&lt;wsp:rsid wsp:val=&quot;0026048B&quot;/&gt;&lt;wsp:rsid wsp:val=&quot;002608B7&quot;/&gt;&lt;wsp:rsid wsp:val=&quot;00260B22&quot;/&gt;&lt;wsp:rsid wsp:val=&quot;00260F3C&quot;/&gt;&lt;wsp:rsid wsp:val=&quot;00261F01&quot;/&gt;&lt;wsp:rsid wsp:val=&quot;002620AA&quot;/&gt;&lt;wsp:rsid wsp:val=&quot;002622D1&quot;/&gt;&lt;wsp:rsid wsp:val=&quot;00262303&quot;/&gt;&lt;wsp:rsid wsp:val=&quot;00262432&quot;/&gt;&lt;wsp:rsid wsp:val=&quot;002626FB&quot;/&gt;&lt;wsp:rsid wsp:val=&quot;00262E49&quot;/&gt;&lt;wsp:rsid wsp:val=&quot;002632FF&quot;/&gt;&lt;wsp:rsid wsp:val=&quot;0026337F&quot;/&gt;&lt;wsp:rsid wsp:val=&quot;00263522&quot;/&gt;&lt;wsp:rsid wsp:val=&quot;00263650&quot;/&gt;&lt;wsp:rsid wsp:val=&quot;002636A2&quot;/&gt;&lt;wsp:rsid wsp:val=&quot;00263AFB&quot;/&gt;&lt;wsp:rsid wsp:val=&quot;00263EF2&quot;/&gt;&lt;wsp:rsid wsp:val=&quot;0026554B&quot;/&gt;&lt;wsp:rsid wsp:val=&quot;00265A72&quot;/&gt;&lt;wsp:rsid wsp:val=&quot;0026606A&quot;/&gt;&lt;wsp:rsid wsp:val=&quot;0026629F&quot;/&gt;&lt;wsp:rsid wsp:val=&quot;00266FDC&quot;/&gt;&lt;wsp:rsid wsp:val=&quot;0026721F&quot;/&gt;&lt;wsp:rsid wsp:val=&quot;002712BE&quot;/&gt;&lt;wsp:rsid wsp:val=&quot;0027163F&quot;/&gt;&lt;wsp:rsid wsp:val=&quot;002717B1&quot;/&gt;&lt;wsp:rsid wsp:val=&quot;00271D1D&quot;/&gt;&lt;wsp:rsid wsp:val=&quot;00271D46&quot;/&gt;&lt;wsp:rsid wsp:val=&quot;00271DDE&quot;/&gt;&lt;wsp:rsid wsp:val=&quot;002721EA&quot;/&gt;&lt;wsp:rsid wsp:val=&quot;002726CD&quot;/&gt;&lt;wsp:rsid wsp:val=&quot;002727E2&quot;/&gt;&lt;wsp:rsid wsp:val=&quot;0027291E&quot;/&gt;&lt;wsp:rsid wsp:val=&quot;00273B74&quot;/&gt;&lt;wsp:rsid wsp:val=&quot;00273DD5&quot;/&gt;&lt;wsp:rsid wsp:val=&quot;002742AC&quot;/&gt;&lt;wsp:rsid wsp:val=&quot;0027480C&quot;/&gt;&lt;wsp:rsid wsp:val=&quot;00274C16&quot;/&gt;&lt;wsp:rsid wsp:val=&quot;0027510E&quot;/&gt;&lt;wsp:rsid wsp:val=&quot;0027526C&quot;/&gt;&lt;wsp:rsid wsp:val=&quot;00275BFE&quot;/&gt;&lt;wsp:rsid wsp:val=&quot;00275DEE&quot;/&gt;&lt;wsp:rsid wsp:val=&quot;00276AB6&quot;/&gt;&lt;wsp:rsid wsp:val=&quot;00277126&quot;/&gt;&lt;wsp:rsid wsp:val=&quot;002771B4&quot;/&gt;&lt;wsp:rsid wsp:val=&quot;0027751D&quot;/&gt;&lt;wsp:rsid wsp:val=&quot;00277FF2&quot;/&gt;&lt;wsp:rsid wsp:val=&quot;002801A8&quot;/&gt;&lt;wsp:rsid wsp:val=&quot;00280375&quot;/&gt;&lt;wsp:rsid wsp:val=&quot;00280461&quot;/&gt;&lt;wsp:rsid wsp:val=&quot;0028094A&quot;/&gt;&lt;wsp:rsid wsp:val=&quot;00281073&quot;/&gt;&lt;wsp:rsid wsp:val=&quot;00281223&quot;/&gt;&lt;wsp:rsid wsp:val=&quot;00281FA5&quot;/&gt;&lt;wsp:rsid wsp:val=&quot;0028257F&quot;/&gt;&lt;wsp:rsid wsp:val=&quot;00282B44&quot;/&gt;&lt;wsp:rsid wsp:val=&quot;00282F8B&quot;/&gt;&lt;wsp:rsid wsp:val=&quot;0028371D&quot;/&gt;&lt;wsp:rsid wsp:val=&quot;00283CB1&quot;/&gt;&lt;wsp:rsid wsp:val=&quot;002842B3&quot;/&gt;&lt;wsp:rsid wsp:val=&quot;00284520&quot;/&gt;&lt;wsp:rsid wsp:val=&quot;0028472B&quot;/&gt;&lt;wsp:rsid wsp:val=&quot;002858C5&quot;/&gt;&lt;wsp:rsid wsp:val=&quot;0028698E&quot;/&gt;&lt;wsp:rsid wsp:val=&quot;002869DE&quot;/&gt;&lt;wsp:rsid wsp:val=&quot;002871AC&quot;/&gt;&lt;wsp:rsid wsp:val=&quot;00287E01&quot;/&gt;&lt;wsp:rsid wsp:val=&quot;00287FF3&quot;/&gt;&lt;wsp:rsid wsp:val=&quot;00290AA1&quot;/&gt;&lt;wsp:rsid wsp:val=&quot;00290FDD&quot;/&gt;&lt;wsp:rsid wsp:val=&quot;002914AE&quot;/&gt;&lt;wsp:rsid wsp:val=&quot;00291668&quot;/&gt;&lt;wsp:rsid wsp:val=&quot;00291D2B&quot;/&gt;&lt;wsp:rsid wsp:val=&quot;00291FBE&quot;/&gt;&lt;wsp:rsid wsp:val=&quot;002925C6&quot;/&gt;&lt;wsp:rsid wsp:val=&quot;002928A9&quot;/&gt;&lt;wsp:rsid wsp:val=&quot;002928BF&quot;/&gt;&lt;wsp:rsid wsp:val=&quot;0029296D&quot;/&gt;&lt;wsp:rsid wsp:val=&quot;0029302C&quot;/&gt;&lt;wsp:rsid wsp:val=&quot;002931A6&quot;/&gt;&lt;wsp:rsid wsp:val=&quot;00293414&quot;/&gt;&lt;wsp:rsid wsp:val=&quot;00293B94&quot;/&gt;&lt;wsp:rsid wsp:val=&quot;00293C62&quot;/&gt;&lt;wsp:rsid wsp:val=&quot;00293F62&quot;/&gt;&lt;wsp:rsid wsp:val=&quot;00294035&quot;/&gt;&lt;wsp:rsid wsp:val=&quot;0029410D&quot;/&gt;&lt;wsp:rsid wsp:val=&quot;00294865&quot;/&gt;&lt;wsp:rsid wsp:val=&quot;00294ACF&quot;/&gt;&lt;wsp:rsid wsp:val=&quot;002950D7&quot;/&gt;&lt;wsp:rsid wsp:val=&quot;00295381&quot;/&gt;&lt;wsp:rsid wsp:val=&quot;00295AFF&quot;/&gt;&lt;wsp:rsid wsp:val=&quot;00295F92&quot;/&gt;&lt;wsp:rsid wsp:val=&quot;002960FC&quot;/&gt;&lt;wsp:rsid wsp:val=&quot;00296D15&quot;/&gt;&lt;wsp:rsid wsp:val=&quot;002975AE&quot;/&gt;&lt;wsp:rsid wsp:val=&quot;00297976&quot;/&gt;&lt;wsp:rsid wsp:val=&quot;002979BD&quot;/&gt;&lt;wsp:rsid wsp:val=&quot;002A050D&quot;/&gt;&lt;wsp:rsid wsp:val=&quot;002A065E&quot;/&gt;&lt;wsp:rsid wsp:val=&quot;002A0723&quot;/&gt;&lt;wsp:rsid wsp:val=&quot;002A20E2&quot;/&gt;&lt;wsp:rsid wsp:val=&quot;002A21FA&quot;/&gt;&lt;wsp:rsid wsp:val=&quot;002A24DC&quot;/&gt;&lt;wsp:rsid wsp:val=&quot;002A25F5&quot;/&gt;&lt;wsp:rsid wsp:val=&quot;002A2EBF&quot;/&gt;&lt;wsp:rsid wsp:val=&quot;002A383E&quot;/&gt;&lt;wsp:rsid wsp:val=&quot;002A4FDF&quot;/&gt;&lt;wsp:rsid wsp:val=&quot;002A547B&quot;/&gt;&lt;wsp:rsid wsp:val=&quot;002A57AC&quot;/&gt;&lt;wsp:rsid wsp:val=&quot;002A73A3&quot;/&gt;&lt;wsp:rsid wsp:val=&quot;002A7D2A&quot;/&gt;&lt;wsp:rsid wsp:val=&quot;002A7EB0&quot;/&gt;&lt;wsp:rsid wsp:val=&quot;002B000F&quot;/&gt;&lt;wsp:rsid wsp:val=&quot;002B00DB&quot;/&gt;&lt;wsp:rsid wsp:val=&quot;002B0B8C&quot;/&gt;&lt;wsp:rsid wsp:val=&quot;002B0E3B&quot;/&gt;&lt;wsp:rsid wsp:val=&quot;002B1EC1&quot;/&gt;&lt;wsp:rsid wsp:val=&quot;002B1FBC&quot;/&gt;&lt;wsp:rsid wsp:val=&quot;002B241A&quot;/&gt;&lt;wsp:rsid wsp:val=&quot;002B258A&quot;/&gt;&lt;wsp:rsid wsp:val=&quot;002B3AFA&quot;/&gt;&lt;wsp:rsid wsp:val=&quot;002B3E4C&quot;/&gt;&lt;wsp:rsid wsp:val=&quot;002B3EE2&quot;/&gt;&lt;wsp:rsid wsp:val=&quot;002B40AB&quot;/&gt;&lt;wsp:rsid wsp:val=&quot;002B484C&quot;/&gt;&lt;wsp:rsid wsp:val=&quot;002B4EF3&quot;/&gt;&lt;wsp:rsid wsp:val=&quot;002B5222&quot;/&gt;&lt;wsp:rsid wsp:val=&quot;002B551B&quot;/&gt;&lt;wsp:rsid wsp:val=&quot;002B5937&quot;/&gt;&lt;wsp:rsid wsp:val=&quot;002B59DC&quot;/&gt;&lt;wsp:rsid wsp:val=&quot;002B5C90&quot;/&gt;&lt;wsp:rsid wsp:val=&quot;002B5F66&quot;/&gt;&lt;wsp:rsid wsp:val=&quot;002B63A6&quot;/&gt;&lt;wsp:rsid wsp:val=&quot;002B6B4A&quot;/&gt;&lt;wsp:rsid wsp:val=&quot;002B708D&quot;/&gt;&lt;wsp:rsid wsp:val=&quot;002B722C&quot;/&gt;&lt;wsp:rsid wsp:val=&quot;002B78C2&quot;/&gt;&lt;wsp:rsid wsp:val=&quot;002B7A6A&quot;/&gt;&lt;wsp:rsid wsp:val=&quot;002C0018&quot;/&gt;&lt;wsp:rsid wsp:val=&quot;002C00A2&quot;/&gt;&lt;wsp:rsid wsp:val=&quot;002C01A0&quot;/&gt;&lt;wsp:rsid wsp:val=&quot;002C05C5&quot;/&gt;&lt;wsp:rsid wsp:val=&quot;002C0D22&quot;/&gt;&lt;wsp:rsid wsp:val=&quot;002C0D62&quot;/&gt;&lt;wsp:rsid wsp:val=&quot;002C0E6F&quot;/&gt;&lt;wsp:rsid wsp:val=&quot;002C15F8&quot;/&gt;&lt;wsp:rsid wsp:val=&quot;002C16AC&quot;/&gt;&lt;wsp:rsid wsp:val=&quot;002C1D7B&quot;/&gt;&lt;wsp:rsid wsp:val=&quot;002C1E28&quot;/&gt;&lt;wsp:rsid wsp:val=&quot;002C240B&quot;/&gt;&lt;wsp:rsid wsp:val=&quot;002C2AEC&quot;/&gt;&lt;wsp:rsid wsp:val=&quot;002C2B53&quot;/&gt;&lt;wsp:rsid wsp:val=&quot;002C3274&quot;/&gt;&lt;wsp:rsid wsp:val=&quot;002C3310&quot;/&gt;&lt;wsp:rsid wsp:val=&quot;002C3465&quot;/&gt;&lt;wsp:rsid wsp:val=&quot;002C386B&quot;/&gt;&lt;wsp:rsid wsp:val=&quot;002C4422&quot;/&gt;&lt;wsp:rsid wsp:val=&quot;002C4D51&quot;/&gt;&lt;wsp:rsid wsp:val=&quot;002C52BF&quot;/&gt;&lt;wsp:rsid wsp:val=&quot;002C554E&quot;/&gt;&lt;wsp:rsid wsp:val=&quot;002C5AE7&quot;/&gt;&lt;wsp:rsid wsp:val=&quot;002C5C32&quot;/&gt;&lt;wsp:rsid wsp:val=&quot;002C6000&quot;/&gt;&lt;wsp:rsid wsp:val=&quot;002C685A&quot;/&gt;&lt;wsp:rsid wsp:val=&quot;002C6CDC&quot;/&gt;&lt;wsp:rsid wsp:val=&quot;002C7186&quot;/&gt;&lt;wsp:rsid wsp:val=&quot;002C739B&quot;/&gt;&lt;wsp:rsid wsp:val=&quot;002C7421&quot;/&gt;&lt;wsp:rsid wsp:val=&quot;002C7DB7&quot;/&gt;&lt;wsp:rsid wsp:val=&quot;002D0CA0&quot;/&gt;&lt;wsp:rsid wsp:val=&quot;002D0FBB&quot;/&gt;&lt;wsp:rsid wsp:val=&quot;002D14DE&quot;/&gt;&lt;wsp:rsid wsp:val=&quot;002D15DB&quot;/&gt;&lt;wsp:rsid wsp:val=&quot;002D1C57&quot;/&gt;&lt;wsp:rsid wsp:val=&quot;002D1FEA&quot;/&gt;&lt;wsp:rsid wsp:val=&quot;002D236B&quot;/&gt;&lt;wsp:rsid wsp:val=&quot;002D25ED&quot;/&gt;&lt;wsp:rsid wsp:val=&quot;002D3013&quot;/&gt;&lt;wsp:rsid wsp:val=&quot;002D3351&quot;/&gt;&lt;wsp:rsid wsp:val=&quot;002D3916&quot;/&gt;&lt;wsp:rsid wsp:val=&quot;002D4188&quot;/&gt;&lt;wsp:rsid wsp:val=&quot;002D5429&quot;/&gt;&lt;wsp:rsid wsp:val=&quot;002D54BE&quot;/&gt;&lt;wsp:rsid wsp:val=&quot;002D5DCB&quot;/&gt;&lt;wsp:rsid wsp:val=&quot;002D664B&quot;/&gt;&lt;wsp:rsid wsp:val=&quot;002D6BA3&quot;/&gt;&lt;wsp:rsid wsp:val=&quot;002D6C22&quot;/&gt;&lt;wsp:rsid wsp:val=&quot;002D6D65&quot;/&gt;&lt;wsp:rsid wsp:val=&quot;002D6E72&quot;/&gt;&lt;wsp:rsid wsp:val=&quot;002D74FD&quot;/&gt;&lt;wsp:rsid wsp:val=&quot;002D7671&quot;/&gt;&lt;wsp:rsid wsp:val=&quot;002D7DFC&quot;/&gt;&lt;wsp:rsid wsp:val=&quot;002D7F2B&quot;/&gt;&lt;wsp:rsid wsp:val=&quot;002E0377&quot;/&gt;&lt;wsp:rsid wsp:val=&quot;002E0866&quot;/&gt;&lt;wsp:rsid wsp:val=&quot;002E0A6A&quot;/&gt;&lt;wsp:rsid wsp:val=&quot;002E1754&quot;/&gt;&lt;wsp:rsid wsp:val=&quot;002E1801&quot;/&gt;&lt;wsp:rsid wsp:val=&quot;002E18B1&quot;/&gt;&lt;wsp:rsid wsp:val=&quot;002E27EB&quot;/&gt;&lt;wsp:rsid wsp:val=&quot;002E39E9&quot;/&gt;&lt;wsp:rsid wsp:val=&quot;002E3C31&quot;/&gt;&lt;wsp:rsid wsp:val=&quot;002E3E64&quot;/&gt;&lt;wsp:rsid wsp:val=&quot;002E4C32&quot;/&gt;&lt;wsp:rsid wsp:val=&quot;002E5458&quot;/&gt;&lt;wsp:rsid wsp:val=&quot;002E6895&quot;/&gt;&lt;wsp:rsid wsp:val=&quot;002E691E&quot;/&gt;&lt;wsp:rsid wsp:val=&quot;002E6D2D&quot;/&gt;&lt;wsp:rsid wsp:val=&quot;002E7D9E&quot;/&gt;&lt;wsp:rsid wsp:val=&quot;002E7F7D&quot;/&gt;&lt;wsp:rsid wsp:val=&quot;002F00A7&quot;/&gt;&lt;wsp:rsid wsp:val=&quot;002F04D2&quot;/&gt;&lt;wsp:rsid wsp:val=&quot;002F0C22&quot;/&gt;&lt;wsp:rsid wsp:val=&quot;002F1195&quot;/&gt;&lt;wsp:rsid wsp:val=&quot;002F12A0&quot;/&gt;&lt;wsp:rsid wsp:val=&quot;002F1346&quot;/&gt;&lt;wsp:rsid wsp:val=&quot;002F18DB&quot;/&gt;&lt;wsp:rsid wsp:val=&quot;002F1EB8&quot;/&gt;&lt;wsp:rsid wsp:val=&quot;002F2123&quot;/&gt;&lt;wsp:rsid wsp:val=&quot;002F2338&quot;/&gt;&lt;wsp:rsid wsp:val=&quot;002F271B&quot;/&gt;&lt;wsp:rsid wsp:val=&quot;002F2AC0&quot;/&gt;&lt;wsp:rsid wsp:val=&quot;002F3DCF&quot;/&gt;&lt;wsp:rsid wsp:val=&quot;002F4FA9&quot;/&gt;&lt;wsp:rsid wsp:val=&quot;002F534C&quot;/&gt;&lt;wsp:rsid wsp:val=&quot;002F55B9&quot;/&gt;&lt;wsp:rsid wsp:val=&quot;002F5650&quot;/&gt;&lt;wsp:rsid wsp:val=&quot;002F5B3E&quot;/&gt;&lt;wsp:rsid wsp:val=&quot;002F5B9B&quot;/&gt;&lt;wsp:rsid wsp:val=&quot;002F68EC&quot;/&gt;&lt;wsp:rsid wsp:val=&quot;002F7A35&quot;/&gt;&lt;wsp:rsid wsp:val=&quot;002F7AC3&quot;/&gt;&lt;wsp:rsid wsp:val=&quot;002F7E90&quot;/&gt;&lt;wsp:rsid wsp:val=&quot;0030009D&quot;/&gt;&lt;wsp:rsid wsp:val=&quot;00300354&quot;/&gt;&lt;wsp:rsid wsp:val=&quot;00300E4A&quot;/&gt;&lt;wsp:rsid wsp:val=&quot;003011D6&quot;/&gt;&lt;wsp:rsid wsp:val=&quot;003028EE&quot;/&gt;&lt;wsp:rsid wsp:val=&quot;00302CE2&quot;/&gt;&lt;wsp:rsid wsp:val=&quot;00303BED&quot;/&gt;&lt;wsp:rsid wsp:val=&quot;00304001&quot;/&gt;&lt;wsp:rsid wsp:val=&quot;00305438&quot;/&gt;&lt;wsp:rsid wsp:val=&quot;003058CD&quot;/&gt;&lt;wsp:rsid wsp:val=&quot;00310051&quot;/&gt;&lt;wsp:rsid wsp:val=&quot;00310BAF&quot;/&gt;&lt;wsp:rsid wsp:val=&quot;003113EE&quot;/&gt;&lt;wsp:rsid wsp:val=&quot;00311564&quot;/&gt;&lt;wsp:rsid wsp:val=&quot;00311754&quot;/&gt;&lt;wsp:rsid wsp:val=&quot;0031177F&quot;/&gt;&lt;wsp:rsid wsp:val=&quot;00311996&quot;/&gt;&lt;wsp:rsid wsp:val=&quot;003126A2&quot;/&gt;&lt;wsp:rsid wsp:val=&quot;003130B9&quot;/&gt;&lt;wsp:rsid wsp:val=&quot;0031340B&quot;/&gt;&lt;wsp:rsid wsp:val=&quot;00313542&quot;/&gt;&lt;wsp:rsid wsp:val=&quot;00313E09&quot;/&gt;&lt;wsp:rsid wsp:val=&quot;00314619&quot;/&gt;&lt;wsp:rsid wsp:val=&quot;00314EF7&quot;/&gt;&lt;wsp:rsid wsp:val=&quot;003154A0&quot;/&gt;&lt;wsp:rsid wsp:val=&quot;003155AD&quot;/&gt;&lt;wsp:rsid wsp:val=&quot;003156C2&quot;/&gt;&lt;wsp:rsid wsp:val=&quot;00315896&quot;/&gt;&lt;wsp:rsid wsp:val=&quot;00316228&quot;/&gt;&lt;wsp:rsid wsp:val=&quot;0031631B&quot;/&gt;&lt;wsp:rsid wsp:val=&quot;0031670A&quot;/&gt;&lt;wsp:rsid wsp:val=&quot;00317DD7&quot;/&gt;&lt;wsp:rsid wsp:val=&quot;003200AE&quot;/&gt;&lt;wsp:rsid wsp:val=&quot;0032062E&quot;/&gt;&lt;wsp:rsid wsp:val=&quot;00320678&quot;/&gt;&lt;wsp:rsid wsp:val=&quot;0032110B&quot;/&gt;&lt;wsp:rsid wsp:val=&quot;00321720&quot;/&gt;&lt;wsp:rsid wsp:val=&quot;003217FB&quot;/&gt;&lt;wsp:rsid wsp:val=&quot;00321F3B&quot;/&gt;&lt;wsp:rsid wsp:val=&quot;00322835&quot;/&gt;&lt;wsp:rsid wsp:val=&quot;00322F0C&quot;/&gt;&lt;wsp:rsid wsp:val=&quot;003230EB&quot;/&gt;&lt;wsp:rsid wsp:val=&quot;00323469&quot;/&gt;&lt;wsp:rsid wsp:val=&quot;003235F5&quot;/&gt;&lt;wsp:rsid wsp:val=&quot;00323630&quot;/&gt;&lt;wsp:rsid wsp:val=&quot;003239A5&quot;/&gt;&lt;wsp:rsid wsp:val=&quot;00323D9C&quot;/&gt;&lt;wsp:rsid wsp:val=&quot;00323F76&quot;/&gt;&lt;wsp:rsid wsp:val=&quot;003250A2&quot;/&gt;&lt;wsp:rsid wsp:val=&quot;00325110&quot;/&gt;&lt;wsp:rsid wsp:val=&quot;00325988&quot;/&gt;&lt;wsp:rsid wsp:val=&quot;00325AE6&quot;/&gt;&lt;wsp:rsid wsp:val=&quot;00325C46&quot;/&gt;&lt;wsp:rsid wsp:val=&quot;003264EA&quot;/&gt;&lt;wsp:rsid wsp:val=&quot;003267D8&quot;/&gt;&lt;wsp:rsid wsp:val=&quot;00326CD3&quot;/&gt;&lt;wsp:rsid wsp:val=&quot;00327427&quot;/&gt;&lt;wsp:rsid wsp:val=&quot;00330368&quot;/&gt;&lt;wsp:rsid wsp:val=&quot;00330A5B&quot;/&gt;&lt;wsp:rsid wsp:val=&quot;003317FE&quot;/&gt;&lt;wsp:rsid wsp:val=&quot;0033207C&quot;/&gt;&lt;wsp:rsid wsp:val=&quot;003321BD&quot;/&gt;&lt;wsp:rsid wsp:val=&quot;003325F3&quot;/&gt;&lt;wsp:rsid wsp:val=&quot;003325F6&quot;/&gt;&lt;wsp:rsid wsp:val=&quot;0033284B&quot;/&gt;&lt;wsp:rsid wsp:val=&quot;0033307D&quot;/&gt;&lt;wsp:rsid wsp:val=&quot;00333585&quot;/&gt;&lt;wsp:rsid wsp:val=&quot;0033383F&quot;/&gt;&lt;wsp:rsid wsp:val=&quot;00334334&quot;/&gt;&lt;wsp:rsid wsp:val=&quot;0033524B&quot;/&gt;&lt;wsp:rsid wsp:val=&quot;0033550F&quot;/&gt;&lt;wsp:rsid wsp:val=&quot;00335BA1&quot;/&gt;&lt;wsp:rsid wsp:val=&quot;00336177&quot;/&gt;&lt;wsp:rsid wsp:val=&quot;003371A3&quot;/&gt;&lt;wsp:rsid wsp:val=&quot;003378C0&quot;/&gt;&lt;wsp:rsid wsp:val=&quot;00337C58&quot;/&gt;&lt;wsp:rsid wsp:val=&quot;00337E93&quot;/&gt;&lt;wsp:rsid wsp:val=&quot;00337EB0&quot;/&gt;&lt;wsp:rsid wsp:val=&quot;0034033D&quot;/&gt;&lt;wsp:rsid wsp:val=&quot;00340976&quot;/&gt;&lt;wsp:rsid wsp:val=&quot;00341159&quot;/&gt;&lt;wsp:rsid wsp:val=&quot;00341659&quot;/&gt;&lt;wsp:rsid wsp:val=&quot;00341E9C&quot;/&gt;&lt;wsp:rsid wsp:val=&quot;00342249&quot;/&gt;&lt;wsp:rsid wsp:val=&quot;00342C0C&quot;/&gt;&lt;wsp:rsid wsp:val=&quot;0034322D&quot;/&gt;&lt;wsp:rsid wsp:val=&quot;00343C8E&quot;/&gt;&lt;wsp:rsid wsp:val=&quot;00343F20&quot;/&gt;&lt;wsp:rsid wsp:val=&quot;00344022&quot;/&gt;&lt;wsp:rsid wsp:val=&quot;00345846&quot;/&gt;&lt;wsp:rsid wsp:val=&quot;0034595A&quot;/&gt;&lt;wsp:rsid wsp:val=&quot;00345DD5&quot;/&gt;&lt;wsp:rsid wsp:val=&quot;003467E8&quot;/&gt;&lt;wsp:rsid wsp:val=&quot;0034708E&quot;/&gt;&lt;wsp:rsid wsp:val=&quot;0034757F&quot;/&gt;&lt;wsp:rsid wsp:val=&quot;00347696&quot;/&gt;&lt;wsp:rsid wsp:val=&quot;003505C0&quot;/&gt;&lt;wsp:rsid wsp:val=&quot;00350DFE&quot;/&gt;&lt;wsp:rsid wsp:val=&quot;00351485&quot;/&gt;&lt;wsp:rsid wsp:val=&quot;00351728&quot;/&gt;&lt;wsp:rsid wsp:val=&quot;0035189E&quot;/&gt;&lt;wsp:rsid wsp:val=&quot;003518B4&quot;/&gt;&lt;wsp:rsid wsp:val=&quot;00351C0D&quot;/&gt;&lt;wsp:rsid wsp:val=&quot;00352179&quot;/&gt;&lt;wsp:rsid wsp:val=&quot;00352B4F&quot;/&gt;&lt;wsp:rsid wsp:val=&quot;00352B5E&quot;/&gt;&lt;wsp:rsid wsp:val=&quot;0035372F&quot;/&gt;&lt;wsp:rsid wsp:val=&quot;00353EF5&quot;/&gt;&lt;wsp:rsid wsp:val=&quot;00354FD8&quot;/&gt;&lt;wsp:rsid wsp:val=&quot;00355C93&quot;/&gt;&lt;wsp:rsid wsp:val=&quot;00355D8F&quot;/&gt;&lt;wsp:rsid wsp:val=&quot;003567D1&quot;/&gt;&lt;wsp:rsid wsp:val=&quot;00356D2F&quot;/&gt;&lt;wsp:rsid wsp:val=&quot;003572DC&quot;/&gt;&lt;wsp:rsid wsp:val=&quot;00357A8F&quot;/&gt;&lt;wsp:rsid wsp:val=&quot;00357E77&quot;/&gt;&lt;wsp:rsid wsp:val=&quot;0036040F&quot;/&gt;&lt;wsp:rsid wsp:val=&quot;00361C6F&quot;/&gt;&lt;wsp:rsid wsp:val=&quot;00363BC1&quot;/&gt;&lt;wsp:rsid wsp:val=&quot;00364774&quot;/&gt;&lt;wsp:rsid wsp:val=&quot;00365E14&quot;/&gt;&lt;wsp:rsid wsp:val=&quot;00365E20&quot;/&gt;&lt;wsp:rsid wsp:val=&quot;003660A5&quot;/&gt;&lt;wsp:rsid wsp:val=&quot;003661E0&quot;/&gt;&lt;wsp:rsid wsp:val=&quot;00367160&quot;/&gt;&lt;wsp:rsid wsp:val=&quot;00367A1D&quot;/&gt;&lt;wsp:rsid wsp:val=&quot;00367A3A&quot;/&gt;&lt;wsp:rsid wsp:val=&quot;00370319&quot;/&gt;&lt;wsp:rsid wsp:val=&quot;00370838&quot;/&gt;&lt;wsp:rsid wsp:val=&quot;003714FB&quot;/&gt;&lt;wsp:rsid wsp:val=&quot;00371755&quot;/&gt;&lt;wsp:rsid wsp:val=&quot;00371C37&quot;/&gt;&lt;wsp:rsid wsp:val=&quot;003726F1&quot;/&gt;&lt;wsp:rsid wsp:val=&quot;00372DA8&quot;/&gt;&lt;wsp:rsid wsp:val=&quot;00372F6D&quot;/&gt;&lt;wsp:rsid wsp:val=&quot;00372FCF&quot;/&gt;&lt;wsp:rsid wsp:val=&quot;00373866&quot;/&gt;&lt;wsp:rsid wsp:val=&quot;00374361&quot;/&gt;&lt;wsp:rsid wsp:val=&quot;0037458B&quot;/&gt;&lt;wsp:rsid wsp:val=&quot;00374D81&quot;/&gt;&lt;wsp:rsid wsp:val=&quot;00374E2C&quot;/&gt;&lt;wsp:rsid wsp:val=&quot;00375B8A&quot;/&gt;&lt;wsp:rsid wsp:val=&quot;0037613C&quot;/&gt;&lt;wsp:rsid wsp:val=&quot;00376873&quot;/&gt;&lt;wsp:rsid wsp:val=&quot;00377567&quot;/&gt;&lt;wsp:rsid wsp:val=&quot;00377871&quot;/&gt;&lt;wsp:rsid wsp:val=&quot;00380475&quot;/&gt;&lt;wsp:rsid wsp:val=&quot;00380D06&quot;/&gt;&lt;wsp:rsid wsp:val=&quot;0038143F&quot;/&gt;&lt;wsp:rsid wsp:val=&quot;0038199F&quot;/&gt;&lt;wsp:rsid wsp:val=&quot;00381B78&quot;/&gt;&lt;wsp:rsid wsp:val=&quot;00381C50&quot;/&gt;&lt;wsp:rsid wsp:val=&quot;003822C4&quot;/&gt;&lt;wsp:rsid wsp:val=&quot;003823B2&quot;/&gt;&lt;wsp:rsid wsp:val=&quot;00382D72&quot;/&gt;&lt;wsp:rsid wsp:val=&quot;00382FA0&quot;/&gt;&lt;wsp:rsid wsp:val=&quot;00383B61&quot;/&gt;&lt;wsp:rsid wsp:val=&quot;00383BE9&quot;/&gt;&lt;wsp:rsid wsp:val=&quot;00383C9A&quot;/&gt;&lt;wsp:rsid wsp:val=&quot;00384403&quot;/&gt;&lt;wsp:rsid wsp:val=&quot;00384CC5&quot;/&gt;&lt;wsp:rsid wsp:val=&quot;00384D45&quot;/&gt;&lt;wsp:rsid wsp:val=&quot;003852A3&quot;/&gt;&lt;wsp:rsid wsp:val=&quot;00385A70&quot;/&gt;&lt;wsp:rsid wsp:val=&quot;00385BAA&quot;/&gt;&lt;wsp:rsid wsp:val=&quot;00385C68&quot;/&gt;&lt;wsp:rsid wsp:val=&quot;00385E52&quot;/&gt;&lt;wsp:rsid wsp:val=&quot;0038753B&quot;/&gt;&lt;wsp:rsid wsp:val=&quot;00387616&quot;/&gt;&lt;wsp:rsid wsp:val=&quot;00390258&quot;/&gt;&lt;wsp:rsid wsp:val=&quot;00390296&quot;/&gt;&lt;wsp:rsid wsp:val=&quot;00390985&quot;/&gt;&lt;wsp:rsid wsp:val=&quot;00390F7F&quot;/&gt;&lt;wsp:rsid wsp:val=&quot;003910F2&quot;/&gt;&lt;wsp:rsid wsp:val=&quot;00391BFF&quot;/&gt;&lt;wsp:rsid wsp:val=&quot;003922B9&quot;/&gt;&lt;wsp:rsid wsp:val=&quot;00392853&quot;/&gt;&lt;wsp:rsid wsp:val=&quot;00392913&quot;/&gt;&lt;wsp:rsid wsp:val=&quot;00392B94&quot;/&gt;&lt;wsp:rsid wsp:val=&quot;00394009&quot;/&gt;&lt;wsp:rsid wsp:val=&quot;00394417&quot;/&gt;&lt;wsp:rsid wsp:val=&quot;003947B8&quot;/&gt;&lt;wsp:rsid wsp:val=&quot;00394A29&quot;/&gt;&lt;wsp:rsid wsp:val=&quot;00394A2F&quot;/&gt;&lt;wsp:rsid wsp:val=&quot;00395273&quot;/&gt;&lt;wsp:rsid wsp:val=&quot;0039599E&quot;/&gt;&lt;wsp:rsid wsp:val=&quot;003960A8&quot;/&gt;&lt;wsp:rsid wsp:val=&quot;00396169&quot;/&gt;&lt;wsp:rsid wsp:val=&quot;003964A2&quot;/&gt;&lt;wsp:rsid wsp:val=&quot;00396A0E&quot;/&gt;&lt;wsp:rsid wsp:val=&quot;003972CE&quot;/&gt;&lt;wsp:rsid wsp:val=&quot;00397B3F&quot;/&gt;&lt;wsp:rsid wsp:val=&quot;003A0716&quot;/&gt;&lt;wsp:rsid wsp:val=&quot;003A0F0D&quot;/&gt;&lt;wsp:rsid wsp:val=&quot;003A10B4&quot;/&gt;&lt;wsp:rsid wsp:val=&quot;003A12D1&quot;/&gt;&lt;wsp:rsid wsp:val=&quot;003A1508&quot;/&gt;&lt;wsp:rsid wsp:val=&quot;003A1F8E&quot;/&gt;&lt;wsp:rsid wsp:val=&quot;003A2191&quot;/&gt;&lt;wsp:rsid wsp:val=&quot;003A2616&quot;/&gt;&lt;wsp:rsid wsp:val=&quot;003A29EE&quot;/&gt;&lt;wsp:rsid wsp:val=&quot;003A2AE6&quot;/&gt;&lt;wsp:rsid wsp:val=&quot;003A3013&quot;/&gt;&lt;wsp:rsid wsp:val=&quot;003A398E&quot;/&gt;&lt;wsp:rsid wsp:val=&quot;003A454B&quot;/&gt;&lt;wsp:rsid wsp:val=&quot;003A4572&quot;/&gt;&lt;wsp:rsid wsp:val=&quot;003A517D&quot;/&gt;&lt;wsp:rsid wsp:val=&quot;003A5F38&quot;/&gt;&lt;wsp:rsid wsp:val=&quot;003A5F60&quot;/&gt;&lt;wsp:rsid wsp:val=&quot;003A62B5&quot;/&gt;&lt;wsp:rsid wsp:val=&quot;003A6AA4&quot;/&gt;&lt;wsp:rsid wsp:val=&quot;003A6B20&quot;/&gt;&lt;wsp:rsid wsp:val=&quot;003A6E14&quot;/&gt;&lt;wsp:rsid wsp:val=&quot;003A70B6&quot;/&gt;&lt;wsp:rsid wsp:val=&quot;003A70DC&quot;/&gt;&lt;wsp:rsid wsp:val=&quot;003A721D&quot;/&gt;&lt;wsp:rsid wsp:val=&quot;003A7440&quot;/&gt;&lt;wsp:rsid wsp:val=&quot;003A7B43&quot;/&gt;&lt;wsp:rsid wsp:val=&quot;003A7EFB&quot;/&gt;&lt;wsp:rsid wsp:val=&quot;003A7F77&quot;/&gt;&lt;wsp:rsid wsp:val=&quot;003B0016&quot;/&gt;&lt;wsp:rsid wsp:val=&quot;003B07FE&quot;/&gt;&lt;wsp:rsid wsp:val=&quot;003B0A78&quot;/&gt;&lt;wsp:rsid wsp:val=&quot;003B1D0A&quot;/&gt;&lt;wsp:rsid wsp:val=&quot;003B3726&quot;/&gt;&lt;wsp:rsid wsp:val=&quot;003B37BD&quot;/&gt;&lt;wsp:rsid wsp:val=&quot;003B39AC&quot;/&gt;&lt;wsp:rsid wsp:val=&quot;003B3FDC&quot;/&gt;&lt;wsp:rsid wsp:val=&quot;003B417B&quot;/&gt;&lt;wsp:rsid wsp:val=&quot;003B43E5&quot;/&gt;&lt;wsp:rsid wsp:val=&quot;003B4D4A&quot;/&gt;&lt;wsp:rsid wsp:val=&quot;003B4ECC&quot;/&gt;&lt;wsp:rsid wsp:val=&quot;003B51E3&quot;/&gt;&lt;wsp:rsid wsp:val=&quot;003B54E1&quot;/&gt;&lt;wsp:rsid wsp:val=&quot;003B5608&quot;/&gt;&lt;wsp:rsid wsp:val=&quot;003B675F&quot;/&gt;&lt;wsp:rsid wsp:val=&quot;003B764F&quot;/&gt;&lt;wsp:rsid wsp:val=&quot;003B7FCB&quot;/&gt;&lt;wsp:rsid wsp:val=&quot;003C1054&quot;/&gt;&lt;wsp:rsid wsp:val=&quot;003C1190&quot;/&gt;&lt;wsp:rsid wsp:val=&quot;003C1EC5&quot;/&gt;&lt;wsp:rsid wsp:val=&quot;003C2190&quot;/&gt;&lt;wsp:rsid wsp:val=&quot;003C24AD&quot;/&gt;&lt;wsp:rsid wsp:val=&quot;003C29A1&quot;/&gt;&lt;wsp:rsid wsp:val=&quot;003C2E83&quot;/&gt;&lt;wsp:rsid wsp:val=&quot;003C3E17&quot;/&gt;&lt;wsp:rsid wsp:val=&quot;003C47E7&quot;/&gt;&lt;wsp:rsid wsp:val=&quot;003C4AB8&quot;/&gt;&lt;wsp:rsid wsp:val=&quot;003C584B&quot;/&gt;&lt;wsp:rsid wsp:val=&quot;003C59B9&quot;/&gt;&lt;wsp:rsid wsp:val=&quot;003C59E8&quot;/&gt;&lt;wsp:rsid wsp:val=&quot;003C6EE9&quot;/&gt;&lt;wsp:rsid wsp:val=&quot;003C70BE&quot;/&gt;&lt;wsp:rsid wsp:val=&quot;003C71E9&quot;/&gt;&lt;wsp:rsid wsp:val=&quot;003C72FE&quot;/&gt;&lt;wsp:rsid wsp:val=&quot;003C7598&quot;/&gt;&lt;wsp:rsid wsp:val=&quot;003C7827&quot;/&gt;&lt;wsp:rsid wsp:val=&quot;003C7AAA&quot;/&gt;&lt;wsp:rsid wsp:val=&quot;003D078A&quot;/&gt;&lt;wsp:rsid wsp:val=&quot;003D09AA&quot;/&gt;&lt;wsp:rsid wsp:val=&quot;003D0FD9&quot;/&gt;&lt;wsp:rsid wsp:val=&quot;003D1FD4&quot;/&gt;&lt;wsp:rsid wsp:val=&quot;003D22B4&quot;/&gt;&lt;wsp:rsid wsp:val=&quot;003D28D1&quot;/&gt;&lt;wsp:rsid wsp:val=&quot;003D2B3F&quot;/&gt;&lt;wsp:rsid wsp:val=&quot;003D2F60&quot;/&gt;&lt;wsp:rsid wsp:val=&quot;003D3049&quot;/&gt;&lt;wsp:rsid wsp:val=&quot;003D3C7C&quot;/&gt;&lt;wsp:rsid wsp:val=&quot;003D3CCE&quot;/&gt;&lt;wsp:rsid wsp:val=&quot;003D41CA&quot;/&gt;&lt;wsp:rsid wsp:val=&quot;003D47AF&quot;/&gt;&lt;wsp:rsid wsp:val=&quot;003D4B75&quot;/&gt;&lt;wsp:rsid wsp:val=&quot;003D4D0D&quot;/&gt;&lt;wsp:rsid wsp:val=&quot;003D5266&quot;/&gt;&lt;wsp:rsid wsp:val=&quot;003D5644&quot;/&gt;&lt;wsp:rsid wsp:val=&quot;003D596E&quot;/&gt;&lt;wsp:rsid wsp:val=&quot;003D5A67&quot;/&gt;&lt;wsp:rsid wsp:val=&quot;003D6052&quot;/&gt;&lt;wsp:rsid wsp:val=&quot;003D61E6&quot;/&gt;&lt;wsp:rsid wsp:val=&quot;003D67D1&quot;/&gt;&lt;wsp:rsid wsp:val=&quot;003D6FEC&quot;/&gt;&lt;wsp:rsid wsp:val=&quot;003D71E2&quot;/&gt;&lt;wsp:rsid wsp:val=&quot;003D7825&quot;/&gt;&lt;wsp:rsid wsp:val=&quot;003D7939&quot;/&gt;&lt;wsp:rsid wsp:val=&quot;003D7FB8&quot;/&gt;&lt;wsp:rsid wsp:val=&quot;003E082C&quot;/&gt;&lt;wsp:rsid wsp:val=&quot;003E0FB4&quot;/&gt;&lt;wsp:rsid wsp:val=&quot;003E11BA&quot;/&gt;&lt;wsp:rsid wsp:val=&quot;003E1F24&quot;/&gt;&lt;wsp:rsid wsp:val=&quot;003E1FC3&quot;/&gt;&lt;wsp:rsid wsp:val=&quot;003E2457&quot;/&gt;&lt;wsp:rsid wsp:val=&quot;003E2F41&quot;/&gt;&lt;wsp:rsid wsp:val=&quot;003E318D&quot;/&gt;&lt;wsp:rsid wsp:val=&quot;003E4385&quot;/&gt;&lt;wsp:rsid wsp:val=&quot;003E44FB&quot;/&gt;&lt;wsp:rsid wsp:val=&quot;003E4D0B&quot;/&gt;&lt;wsp:rsid wsp:val=&quot;003E5421&quot;/&gt;&lt;wsp:rsid wsp:val=&quot;003E6006&quot;/&gt;&lt;wsp:rsid wsp:val=&quot;003E6194&quot;/&gt;&lt;wsp:rsid wsp:val=&quot;003E6AE4&quot;/&gt;&lt;wsp:rsid wsp:val=&quot;003E7B49&quot;/&gt;&lt;wsp:rsid wsp:val=&quot;003F00B5&quot;/&gt;&lt;wsp:rsid wsp:val=&quot;003F02BC&quot;/&gt;&lt;wsp:rsid wsp:val=&quot;003F0CCC&quot;/&gt;&lt;wsp:rsid wsp:val=&quot;003F0D28&quot;/&gt;&lt;wsp:rsid wsp:val=&quot;003F1B83&quot;/&gt;&lt;wsp:rsid wsp:val=&quot;003F28D2&quot;/&gt;&lt;wsp:rsid wsp:val=&quot;003F2CCA&quot;/&gt;&lt;wsp:rsid wsp:val=&quot;003F301D&quot;/&gt;&lt;wsp:rsid wsp:val=&quot;003F358B&quot;/&gt;&lt;wsp:rsid wsp:val=&quot;003F3822&quot;/&gt;&lt;wsp:rsid wsp:val=&quot;003F3CF2&quot;/&gt;&lt;wsp:rsid wsp:val=&quot;003F4260&quot;/&gt;&lt;wsp:rsid wsp:val=&quot;003F47C4&quot;/&gt;&lt;wsp:rsid wsp:val=&quot;003F49AD&quot;/&gt;&lt;wsp:rsid wsp:val=&quot;003F52B9&quot;/&gt;&lt;wsp:rsid wsp:val=&quot;003F55DB&quot;/&gt;&lt;wsp:rsid wsp:val=&quot;003F5718&quot;/&gt;&lt;wsp:rsid wsp:val=&quot;003F5A44&quot;/&gt;&lt;wsp:rsid wsp:val=&quot;003F69E6&quot;/&gt;&lt;wsp:rsid wsp:val=&quot;003F7603&quot;/&gt;&lt;wsp:rsid wsp:val=&quot;003F7723&quot;/&gt;&lt;wsp:rsid wsp:val=&quot;003F7898&quot;/&gt;&lt;wsp:rsid wsp:val=&quot;00400387&quot;/&gt;&lt;wsp:rsid wsp:val=&quot;004003C3&quot;/&gt;&lt;wsp:rsid wsp:val=&quot;0040085B&quot;/&gt;&lt;wsp:rsid wsp:val=&quot;00401282&quot;/&gt;&lt;wsp:rsid wsp:val=&quot;00401C72&quot;/&gt;&lt;wsp:rsid wsp:val=&quot;00401FE6&quot;/&gt;&lt;wsp:rsid wsp:val=&quot;0040219B&quot;/&gt;&lt;wsp:rsid wsp:val=&quot;00402A41&quot;/&gt;&lt;wsp:rsid wsp:val=&quot;00402B03&quot;/&gt;&lt;wsp:rsid wsp:val=&quot;004032A5&quot;/&gt;&lt;wsp:rsid wsp:val=&quot;00403B5F&quot;/&gt;&lt;wsp:rsid wsp:val=&quot;00404AF6&quot;/&gt;&lt;wsp:rsid wsp:val=&quot;00404C39&quot;/&gt;&lt;wsp:rsid wsp:val=&quot;00404F44&quot;/&gt;&lt;wsp:rsid wsp:val=&quot;004050AD&quot;/&gt;&lt;wsp:rsid wsp:val=&quot;004051E7&quot;/&gt;&lt;wsp:rsid wsp:val=&quot;00405723&quot;/&gt;&lt;wsp:rsid wsp:val=&quot;00405BA1&quot;/&gt;&lt;wsp:rsid wsp:val=&quot;00406782&quot;/&gt;&lt;wsp:rsid wsp:val=&quot;00406936&quot;/&gt;&lt;wsp:rsid wsp:val=&quot;00406D06&quot;/&gt;&lt;wsp:rsid wsp:val=&quot;00406FBE&quot;/&gt;&lt;wsp:rsid wsp:val=&quot;00406FEB&quot;/&gt;&lt;wsp:rsid wsp:val=&quot;004074BB&quot;/&gt;&lt;wsp:rsid wsp:val=&quot;00407558&quot;/&gt;&lt;wsp:rsid wsp:val=&quot;00407577&quot;/&gt;&lt;wsp:rsid wsp:val=&quot;0040792E&quot;/&gt;&lt;wsp:rsid wsp:val=&quot;00407A0E&quot;/&gt;&lt;wsp:rsid wsp:val=&quot;00410520&quot;/&gt;&lt;wsp:rsid wsp:val=&quot;00410872&quot;/&gt;&lt;wsp:rsid wsp:val=&quot;004108F1&quot;/&gt;&lt;wsp:rsid wsp:val=&quot;004115F8&quot;/&gt;&lt;wsp:rsid wsp:val=&quot;00411840&quot;/&gt;&lt;wsp:rsid wsp:val=&quot;00411A8D&quot;/&gt;&lt;wsp:rsid wsp:val=&quot;00411C14&quot;/&gt;&lt;wsp:rsid wsp:val=&quot;00412262&quot;/&gt;&lt;wsp:rsid wsp:val=&quot;0041229B&quot;/&gt;&lt;wsp:rsid wsp:val=&quot;004124B1&quot;/&gt;&lt;wsp:rsid wsp:val=&quot;00412681&quot;/&gt;&lt;wsp:rsid wsp:val=&quot;00412790&quot;/&gt;&lt;wsp:rsid wsp:val=&quot;00412AAD&quot;/&gt;&lt;wsp:rsid wsp:val=&quot;00412C3C&quot;/&gt;&lt;wsp:rsid wsp:val=&quot;00413DBB&quot;/&gt;&lt;wsp:rsid wsp:val=&quot;00413E1A&quot;/&gt;&lt;wsp:rsid wsp:val=&quot;0041418D&quot;/&gt;&lt;wsp:rsid wsp:val=&quot;00414A88&quot;/&gt;&lt;wsp:rsid wsp:val=&quot;00414BFA&quot;/&gt;&lt;wsp:rsid wsp:val=&quot;004156AB&quot;/&gt;&lt;wsp:rsid wsp:val=&quot;00415796&quot;/&gt;&lt;wsp:rsid wsp:val=&quot;00415A3E&quot;/&gt;&lt;wsp:rsid wsp:val=&quot;00416764&quot;/&gt;&lt;wsp:rsid wsp:val=&quot;004173DE&quot;/&gt;&lt;wsp:rsid wsp:val=&quot;004174FE&quot;/&gt;&lt;wsp:rsid wsp:val=&quot;004178AF&quot;/&gt;&lt;wsp:rsid wsp:val=&quot;004200A3&quot;/&gt;&lt;wsp:rsid wsp:val=&quot;00420310&quot;/&gt;&lt;wsp:rsid wsp:val=&quot;00420637&quot;/&gt;&lt;wsp:rsid wsp:val=&quot;00420950&quot;/&gt;&lt;wsp:rsid wsp:val=&quot;00420961&quot;/&gt;&lt;wsp:rsid wsp:val=&quot;00420DC0&quot;/&gt;&lt;wsp:rsid wsp:val=&quot;0042119D&quot;/&gt;&lt;wsp:rsid wsp:val=&quot;004211D4&quot;/&gt;&lt;wsp:rsid wsp:val=&quot;0042153B&quot;/&gt;&lt;wsp:rsid wsp:val=&quot;0042174B&quot;/&gt;&lt;wsp:rsid wsp:val=&quot;00422667&quot;/&gt;&lt;wsp:rsid wsp:val=&quot;004227B7&quot;/&gt;&lt;wsp:rsid wsp:val=&quot;00423311&quot;/&gt;&lt;wsp:rsid wsp:val=&quot;0042375B&quot;/&gt;&lt;wsp:rsid wsp:val=&quot;00424061&quot;/&gt;&lt;wsp:rsid wsp:val=&quot;00424A2A&quot;/&gt;&lt;wsp:rsid wsp:val=&quot;0042526D&quot;/&gt;&lt;wsp:rsid wsp:val=&quot;00425693&quot;/&gt;&lt;wsp:rsid wsp:val=&quot;0042576B&quot;/&gt;&lt;wsp:rsid wsp:val=&quot;004257CC&quot;/&gt;&lt;wsp:rsid wsp:val=&quot;00425B9D&quot;/&gt;&lt;wsp:rsid wsp:val=&quot;00425EA6&quot;/&gt;&lt;wsp:rsid wsp:val=&quot;00426065&quot;/&gt;&lt;wsp:rsid wsp:val=&quot;004269D4&quot;/&gt;&lt;wsp:rsid wsp:val=&quot;00426A8D&quot;/&gt;&lt;wsp:rsid wsp:val=&quot;0042750C&quot;/&gt;&lt;wsp:rsid wsp:val=&quot;00427B2B&quot;/&gt;&lt;wsp:rsid wsp:val=&quot;00427EE3&quot;/&gt;&lt;wsp:rsid wsp:val=&quot;004305F0&quot;/&gt;&lt;wsp:rsid wsp:val=&quot;004309CF&quot;/&gt;&lt;wsp:rsid wsp:val=&quot;00430EF7&quot;/&gt;&lt;wsp:rsid wsp:val=&quot;004310AE&quot;/&gt;&lt;wsp:rsid wsp:val=&quot;00431123&quot;/&gt;&lt;wsp:rsid wsp:val=&quot;00432271&quot;/&gt;&lt;wsp:rsid wsp:val=&quot;004326FB&quot;/&gt;&lt;wsp:rsid wsp:val=&quot;00432CAF&quot;/&gt;&lt;wsp:rsid wsp:val=&quot;00432D85&quot;/&gt;&lt;wsp:rsid wsp:val=&quot;00432DAF&quot;/&gt;&lt;wsp:rsid wsp:val=&quot;00432F1D&quot;/&gt;&lt;wsp:rsid wsp:val=&quot;00433453&quot;/&gt;&lt;wsp:rsid wsp:val=&quot;0043439C&quot;/&gt;&lt;wsp:rsid wsp:val=&quot;00434443&quot;/&gt;&lt;wsp:rsid wsp:val=&quot;00434F2E&quot;/&gt;&lt;wsp:rsid wsp:val=&quot;004353E2&quot;/&gt;&lt;wsp:rsid wsp:val=&quot;0043559E&quot;/&gt;&lt;wsp:rsid wsp:val=&quot;00436933&quot;/&gt;&lt;wsp:rsid wsp:val=&quot;00437013&quot;/&gt;&lt;wsp:rsid wsp:val=&quot;0043738B&quot;/&gt;&lt;wsp:rsid wsp:val=&quot;00437685&quot;/&gt;&lt;wsp:rsid wsp:val=&quot;004378CF&quot;/&gt;&lt;wsp:rsid wsp:val=&quot;00437BDF&quot;/&gt;&lt;wsp:rsid wsp:val=&quot;004403BB&quot;/&gt;&lt;wsp:rsid wsp:val=&quot;0044059C&quot;/&gt;&lt;wsp:rsid wsp:val=&quot;0044080A&quot;/&gt;&lt;wsp:rsid wsp:val=&quot;00440C61&quot;/&gt;&lt;wsp:rsid wsp:val=&quot;00440D18&quot;/&gt;&lt;wsp:rsid wsp:val=&quot;004415BA&quot;/&gt;&lt;wsp:rsid wsp:val=&quot;004418D6&quot;/&gt;&lt;wsp:rsid wsp:val=&quot;00442A02&quot;/&gt;&lt;wsp:rsid wsp:val=&quot;00442F92&quot;/&gt;&lt;wsp:rsid wsp:val=&quot;004430B1&quot;/&gt;&lt;wsp:rsid wsp:val=&quot;0044355A&quot;/&gt;&lt;wsp:rsid wsp:val=&quot;0044367F&quot;/&gt;&lt;wsp:rsid wsp:val=&quot;00443C5F&quot;/&gt;&lt;wsp:rsid wsp:val=&quot;0044471D&quot;/&gt;&lt;wsp:rsid wsp:val=&quot;00444943&quot;/&gt;&lt;wsp:rsid wsp:val=&quot;00445565&quot;/&gt;&lt;wsp:rsid wsp:val=&quot;004458E1&quot;/&gt;&lt;wsp:rsid wsp:val=&quot;00445D5D&quot;/&gt;&lt;wsp:rsid wsp:val=&quot;00446609&quot;/&gt;&lt;wsp:rsid wsp:val=&quot;00447D09&quot;/&gt;&lt;wsp:rsid wsp:val=&quot;00447D3B&quot;/&gt;&lt;wsp:rsid wsp:val=&quot;0045044F&quot;/&gt;&lt;wsp:rsid wsp:val=&quot;004507B5&quot;/&gt;&lt;wsp:rsid wsp:val=&quot;00450D00&quot;/&gt;&lt;wsp:rsid wsp:val=&quot;00450EC7&quot;/&gt;&lt;wsp:rsid wsp:val=&quot;004513BC&quot;/&gt;&lt;wsp:rsid wsp:val=&quot;00451845&quot;/&gt;&lt;wsp:rsid wsp:val=&quot;00451E8B&quot;/&gt;&lt;wsp:rsid wsp:val=&quot;00452281&quot;/&gt;&lt;wsp:rsid wsp:val=&quot;00452F48&quot;/&gt;&lt;wsp:rsid wsp:val=&quot;0045309C&quot;/&gt;&lt;wsp:rsid wsp:val=&quot;004530EA&quot;/&gt;&lt;wsp:rsid wsp:val=&quot;00453808&quot;/&gt;&lt;wsp:rsid wsp:val=&quot;00453B86&quot;/&gt;&lt;wsp:rsid wsp:val=&quot;00454072&quot;/&gt;&lt;wsp:rsid wsp:val=&quot;004543D8&quot;/&gt;&lt;wsp:rsid wsp:val=&quot;004544F7&quot;/&gt;&lt;wsp:rsid wsp:val=&quot;00454EDD&quot;/&gt;&lt;wsp:rsid wsp:val=&quot;004556C3&quot;/&gt;&lt;wsp:rsid wsp:val=&quot;004561BA&quot;/&gt;&lt;wsp:rsid wsp:val=&quot;00456821&quot;/&gt;&lt;wsp:rsid wsp:val=&quot;00457C67&quot;/&gt;&lt;wsp:rsid wsp:val=&quot;00457D35&quot;/&gt;&lt;wsp:rsid wsp:val=&quot;00460B12&quot;/&gt;&lt;wsp:rsid wsp:val=&quot;00460B69&quot;/&gt;&lt;wsp:rsid wsp:val=&quot;00461BEE&quot;/&gt;&lt;wsp:rsid wsp:val=&quot;00461F74&quot;/&gt;&lt;wsp:rsid wsp:val=&quot;0046225A&quot;/&gt;&lt;wsp:rsid wsp:val=&quot;00464CBE&quot;/&gt;&lt;wsp:rsid wsp:val=&quot;00465960&quot;/&gt;&lt;wsp:rsid wsp:val=&quot;004663A6&quot;/&gt;&lt;wsp:rsid wsp:val=&quot;004671CB&quot;/&gt;&lt;wsp:rsid wsp:val=&quot;00467D8C&quot;/&gt;&lt;wsp:rsid wsp:val=&quot;00470198&quot;/&gt;&lt;wsp:rsid wsp:val=&quot;004707C0&quot;/&gt;&lt;wsp:rsid wsp:val=&quot;00470E05&quot;/&gt;&lt;wsp:rsid wsp:val=&quot;00470F97&quot;/&gt;&lt;wsp:rsid wsp:val=&quot;00471225&quot;/&gt;&lt;wsp:rsid wsp:val=&quot;004714BD&quot;/&gt;&lt;wsp:rsid wsp:val=&quot;00471AE0&quot;/&gt;&lt;wsp:rsid wsp:val=&quot;00471C70&quot;/&gt;&lt;wsp:rsid wsp:val=&quot;0047256F&quot;/&gt;&lt;wsp:rsid wsp:val=&quot;004731CD&quot;/&gt;&lt;wsp:rsid wsp:val=&quot;00473373&quot;/&gt;&lt;wsp:rsid wsp:val=&quot;004733A7&quot;/&gt;&lt;wsp:rsid wsp:val=&quot;0047373D&quot;/&gt;&lt;wsp:rsid wsp:val=&quot;00474357&quot;/&gt;&lt;wsp:rsid wsp:val=&quot;00474440&quot;/&gt;&lt;wsp:rsid wsp:val=&quot;004747FB&quot;/&gt;&lt;wsp:rsid wsp:val=&quot;00474871&quot;/&gt;&lt;wsp:rsid wsp:val=&quot;00474AB8&quot;/&gt;&lt;wsp:rsid wsp:val=&quot;00474F6C&quot;/&gt;&lt;wsp:rsid wsp:val=&quot;0047506E&quot;/&gt;&lt;wsp:rsid wsp:val=&quot;00475392&quot;/&gt;&lt;wsp:rsid wsp:val=&quot;00475A57&quot;/&gt;&lt;wsp:rsid wsp:val=&quot;004764D9&quot;/&gt;&lt;wsp:rsid wsp:val=&quot;004766AD&quot;/&gt;&lt;wsp:rsid wsp:val=&quot;00476FEF&quot;/&gt;&lt;wsp:rsid wsp:val=&quot;004770EE&quot;/&gt;&lt;wsp:rsid wsp:val=&quot;00477419&quot;/&gt;&lt;wsp:rsid wsp:val=&quot;00477435&quot;/&gt;&lt;wsp:rsid wsp:val=&quot;00477660&quot;/&gt;&lt;wsp:rsid wsp:val=&quot;004777A3&quot;/&gt;&lt;wsp:rsid wsp:val=&quot;00477F48&quot;/&gt;&lt;wsp:rsid wsp:val=&quot;00480B56&quot;/&gt;&lt;wsp:rsid wsp:val=&quot;00480F48&quot;/&gt;&lt;wsp:rsid wsp:val=&quot;004811D2&quot;/&gt;&lt;wsp:rsid wsp:val=&quot;00481509&quot;/&gt;&lt;wsp:rsid wsp:val=&quot;00481BD2&quot;/&gt;&lt;wsp:rsid wsp:val=&quot;00481DAC&quot;/&gt;&lt;wsp:rsid wsp:val=&quot;004824A8&quot;/&gt;&lt;wsp:rsid wsp:val=&quot;00482513&quot;/&gt;&lt;wsp:rsid wsp:val=&quot;004828FD&quot;/&gt;&lt;wsp:rsid wsp:val=&quot;004829BB&quot;/&gt;&lt;wsp:rsid wsp:val=&quot;00482A09&quot;/&gt;&lt;wsp:rsid wsp:val=&quot;00482AEF&quot;/&gt;&lt;wsp:rsid wsp:val=&quot;00482E6F&quot;/&gt;&lt;wsp:rsid wsp:val=&quot;0048428D&quot;/&gt;&lt;wsp:rsid wsp:val=&quot;00484688&quot;/&gt;&lt;wsp:rsid wsp:val=&quot;00484E25&quot;/&gt;&lt;wsp:rsid wsp:val=&quot;004855AA&quot;/&gt;&lt;wsp:rsid wsp:val=&quot;0048571B&quot;/&gt;&lt;wsp:rsid wsp:val=&quot;00485737&quot;/&gt;&lt;wsp:rsid wsp:val=&quot;00485C8A&quot;/&gt;&lt;wsp:rsid wsp:val=&quot;00485D93&quot;/&gt;&lt;wsp:rsid wsp:val=&quot;0048666B&quot;/&gt;&lt;wsp:rsid wsp:val=&quot;00486759&quot;/&gt;&lt;wsp:rsid wsp:val=&quot;00486B42&quot;/&gt;&lt;wsp:rsid wsp:val=&quot;00486D6E&quot;/&gt;&lt;wsp:rsid wsp:val=&quot;0048736A&quot;/&gt;&lt;wsp:rsid wsp:val=&quot;00487C37&quot;/&gt;&lt;wsp:rsid wsp:val=&quot;00487DDD&quot;/&gt;&lt;wsp:rsid wsp:val=&quot;00487FC5&quot;/&gt;&lt;wsp:rsid wsp:val=&quot;0049012B&quot;/&gt;&lt;wsp:rsid wsp:val=&quot;004908E1&quot;/&gt;&lt;wsp:rsid wsp:val=&quot;00490E51&quot;/&gt;&lt;wsp:rsid wsp:val=&quot;004911D2&quot;/&gt;&lt;wsp:rsid wsp:val=&quot;00491870&quot;/&gt;&lt;wsp:rsid wsp:val=&quot;00491A07&quot;/&gt;&lt;wsp:rsid wsp:val=&quot;00492691&quot;/&gt;&lt;wsp:rsid wsp:val=&quot;004926CC&quot;/&gt;&lt;wsp:rsid wsp:val=&quot;00493569&quot;/&gt;&lt;wsp:rsid wsp:val=&quot;00493946&quot;/&gt;&lt;wsp:rsid wsp:val=&quot;00493ADC&quot;/&gt;&lt;wsp:rsid wsp:val=&quot;0049443A&quot;/&gt;&lt;wsp:rsid wsp:val=&quot;004946BF&quot;/&gt;&lt;wsp:rsid wsp:val=&quot;00494BAB&quot;/&gt;&lt;wsp:rsid wsp:val=&quot;00494C65&quot;/&gt;&lt;wsp:rsid wsp:val=&quot;00494E34&quot;/&gt;&lt;wsp:rsid wsp:val=&quot;004950F9&quot;/&gt;&lt;wsp:rsid wsp:val=&quot;00495239&quot;/&gt;&lt;wsp:rsid wsp:val=&quot;004952F9&quot;/&gt;&lt;wsp:rsid wsp:val=&quot;00496359&quot;/&gt;&lt;wsp:rsid wsp:val=&quot;00496F20&quot;/&gt;&lt;wsp:rsid wsp:val=&quot;00497864&quot;/&gt;&lt;wsp:rsid wsp:val=&quot;00497C56&quot;/&gt;&lt;wsp:rsid wsp:val=&quot;004A0E26&quot;/&gt;&lt;wsp:rsid wsp:val=&quot;004A0F6B&quot;/&gt;&lt;wsp:rsid wsp:val=&quot;004A1001&quot;/&gt;&lt;wsp:rsid wsp:val=&quot;004A11DA&quot;/&gt;&lt;wsp:rsid wsp:val=&quot;004A1386&quot;/&gt;&lt;wsp:rsid wsp:val=&quot;004A1462&quot;/&gt;&lt;wsp:rsid wsp:val=&quot;004A160B&quot;/&gt;&lt;wsp:rsid wsp:val=&quot;004A16ED&quot;/&gt;&lt;wsp:rsid wsp:val=&quot;004A1A30&quot;/&gt;&lt;wsp:rsid wsp:val=&quot;004A2234&quot;/&gt;&lt;wsp:rsid wsp:val=&quot;004A28CF&quot;/&gt;&lt;wsp:rsid wsp:val=&quot;004A3052&quot;/&gt;&lt;wsp:rsid wsp:val=&quot;004A3D54&quot;/&gt;&lt;wsp:rsid wsp:val=&quot;004A43AC&quot;/&gt;&lt;wsp:rsid wsp:val=&quot;004A4641&quot;/&gt;&lt;wsp:rsid wsp:val=&quot;004A566E&quot;/&gt;&lt;wsp:rsid wsp:val=&quot;004A57BD&quot;/&gt;&lt;wsp:rsid wsp:val=&quot;004A5B25&quot;/&gt;&lt;wsp:rsid wsp:val=&quot;004A5CF1&quot;/&gt;&lt;wsp:rsid wsp:val=&quot;004A6156&quot;/&gt;&lt;wsp:rsid wsp:val=&quot;004A7288&quot;/&gt;&lt;wsp:rsid wsp:val=&quot;004A749B&quot;/&gt;&lt;wsp:rsid wsp:val=&quot;004A798F&quot;/&gt;&lt;wsp:rsid wsp:val=&quot;004B017D&quot;/&gt;&lt;wsp:rsid wsp:val=&quot;004B0CB0&quot;/&gt;&lt;wsp:rsid wsp:val=&quot;004B13CC&quot;/&gt;&lt;wsp:rsid wsp:val=&quot;004B1A56&quot;/&gt;&lt;wsp:rsid wsp:val=&quot;004B1D3A&quot;/&gt;&lt;wsp:rsid wsp:val=&quot;004B1E13&quot;/&gt;&lt;wsp:rsid wsp:val=&quot;004B25A5&quot;/&gt;&lt;wsp:rsid wsp:val=&quot;004B25AD&quot;/&gt;&lt;wsp:rsid wsp:val=&quot;004B28A4&quot;/&gt;&lt;wsp:rsid wsp:val=&quot;004B32EA&quot;/&gt;&lt;wsp:rsid wsp:val=&quot;004B3842&quot;/&gt;&lt;wsp:rsid wsp:val=&quot;004B3913&quot;/&gt;&lt;wsp:rsid wsp:val=&quot;004B3D1E&quot;/&gt;&lt;wsp:rsid wsp:val=&quot;004B5656&quot;/&gt;&lt;wsp:rsid wsp:val=&quot;004B5A7F&quot;/&gt;&lt;wsp:rsid wsp:val=&quot;004B62D7&quot;/&gt;&lt;wsp:rsid wsp:val=&quot;004B736F&quot;/&gt;&lt;wsp:rsid wsp:val=&quot;004B7E32&quot;/&gt;&lt;wsp:rsid wsp:val=&quot;004B7E5E&quot;/&gt;&lt;wsp:rsid wsp:val=&quot;004C0204&quot;/&gt;&lt;wsp:rsid wsp:val=&quot;004C0EB9&quot;/&gt;&lt;wsp:rsid wsp:val=&quot;004C1B88&quot;/&gt;&lt;wsp:rsid wsp:val=&quot;004C1C66&quot;/&gt;&lt;wsp:rsid wsp:val=&quot;004C2BAA&quot;/&gt;&lt;wsp:rsid wsp:val=&quot;004C2D01&quot;/&gt;&lt;wsp:rsid wsp:val=&quot;004C3018&quot;/&gt;&lt;wsp:rsid wsp:val=&quot;004C308B&quot;/&gt;&lt;wsp:rsid wsp:val=&quot;004C30E6&quot;/&gt;&lt;wsp:rsid wsp:val=&quot;004C31B1&quot;/&gt;&lt;wsp:rsid wsp:val=&quot;004C3237&quot;/&gt;&lt;wsp:rsid wsp:val=&quot;004C3269&quot;/&gt;&lt;wsp:rsid wsp:val=&quot;004C3F7C&quot;/&gt;&lt;wsp:rsid wsp:val=&quot;004C48BA&quot;/&gt;&lt;wsp:rsid wsp:val=&quot;004C4B35&quot;/&gt;&lt;wsp:rsid wsp:val=&quot;004C4E5B&quot;/&gt;&lt;wsp:rsid wsp:val=&quot;004C5B2C&quot;/&gt;&lt;wsp:rsid wsp:val=&quot;004C62EF&quot;/&gt;&lt;wsp:rsid wsp:val=&quot;004C67A9&quot;/&gt;&lt;wsp:rsid wsp:val=&quot;004C6AA6&quot;/&gt;&lt;wsp:rsid wsp:val=&quot;004C6F82&quot;/&gt;&lt;wsp:rsid wsp:val=&quot;004C70E3&quot;/&gt;&lt;wsp:rsid wsp:val=&quot;004C795A&quot;/&gt;&lt;wsp:rsid wsp:val=&quot;004C7F05&quot;/&gt;&lt;wsp:rsid wsp:val=&quot;004C7F72&quot;/&gt;&lt;wsp:rsid wsp:val=&quot;004D0624&quot;/&gt;&lt;wsp:rsid wsp:val=&quot;004D103C&quot;/&gt;&lt;wsp:rsid wsp:val=&quot;004D103D&quot;/&gt;&lt;wsp:rsid wsp:val=&quot;004D1BC5&quot;/&gt;&lt;wsp:rsid wsp:val=&quot;004D2749&quot;/&gt;&lt;wsp:rsid wsp:val=&quot;004D2BCF&quot;/&gt;&lt;wsp:rsid wsp:val=&quot;004D2F23&quot;/&gt;&lt;wsp:rsid wsp:val=&quot;004D3120&quot;/&gt;&lt;wsp:rsid wsp:val=&quot;004D3CE5&quot;/&gt;&lt;wsp:rsid wsp:val=&quot;004D3E8E&quot;/&gt;&lt;wsp:rsid wsp:val=&quot;004D3F96&quot;/&gt;&lt;wsp:rsid wsp:val=&quot;004D41AC&quot;/&gt;&lt;wsp:rsid wsp:val=&quot;004D45B6&quot;/&gt;&lt;wsp:rsid wsp:val=&quot;004D4902&quot;/&gt;&lt;wsp:rsid wsp:val=&quot;004D4E3D&quot;/&gt;&lt;wsp:rsid wsp:val=&quot;004D4E7C&quot;/&gt;&lt;wsp:rsid wsp:val=&quot;004D5378&quot;/&gt;&lt;wsp:rsid wsp:val=&quot;004D549A&quot;/&gt;&lt;wsp:rsid wsp:val=&quot;004D5A1E&quot;/&gt;&lt;wsp:rsid wsp:val=&quot;004D60FA&quot;/&gt;&lt;wsp:rsid wsp:val=&quot;004D614C&quot;/&gt;&lt;wsp:rsid wsp:val=&quot;004D62B1&quot;/&gt;&lt;wsp:rsid wsp:val=&quot;004D65C2&quot;/&gt;&lt;wsp:rsid wsp:val=&quot;004D6AEB&quot;/&gt;&lt;wsp:rsid wsp:val=&quot;004D6DEB&quot;/&gt;&lt;wsp:rsid wsp:val=&quot;004D7005&quot;/&gt;&lt;wsp:rsid wsp:val=&quot;004D7683&quot;/&gt;&lt;wsp:rsid wsp:val=&quot;004D78AA&quot;/&gt;&lt;wsp:rsid wsp:val=&quot;004D7F4A&quot;/&gt;&lt;wsp:rsid wsp:val=&quot;004E0129&quot;/&gt;&lt;wsp:rsid wsp:val=&quot;004E0554&quot;/&gt;&lt;wsp:rsid wsp:val=&quot;004E1256&quot;/&gt;&lt;wsp:rsid wsp:val=&quot;004E12AD&quot;/&gt;&lt;wsp:rsid wsp:val=&quot;004E1459&quot;/&gt;&lt;wsp:rsid wsp:val=&quot;004E17E1&quot;/&gt;&lt;wsp:rsid wsp:val=&quot;004E19C7&quot;/&gt;&lt;wsp:rsid wsp:val=&quot;004E19D7&quot;/&gt;&lt;wsp:rsid wsp:val=&quot;004E1A0B&quot;/&gt;&lt;wsp:rsid wsp:val=&quot;004E1AA7&quot;/&gt;&lt;wsp:rsid wsp:val=&quot;004E1BD3&quot;/&gt;&lt;wsp:rsid wsp:val=&quot;004E2275&quot;/&gt;&lt;wsp:rsid wsp:val=&quot;004E29D7&quot;/&gt;&lt;wsp:rsid wsp:val=&quot;004E32AA&quot;/&gt;&lt;wsp:rsid wsp:val=&quot;004E3901&quot;/&gt;&lt;wsp:rsid wsp:val=&quot;004E3A0C&quot;/&gt;&lt;wsp:rsid wsp:val=&quot;004E4357&quot;/&gt;&lt;wsp:rsid wsp:val=&quot;004E4669&quot;/&gt;&lt;wsp:rsid wsp:val=&quot;004E4CCB&quot;/&gt;&lt;wsp:rsid wsp:val=&quot;004E59C4&quot;/&gt;&lt;wsp:rsid wsp:val=&quot;004E5EEC&quot;/&gt;&lt;wsp:rsid wsp:val=&quot;004E6088&quot;/&gt;&lt;wsp:rsid wsp:val=&quot;004E6205&quot;/&gt;&lt;wsp:rsid wsp:val=&quot;004E6216&quot;/&gt;&lt;wsp:rsid wsp:val=&quot;004E6A9C&quot;/&gt;&lt;wsp:rsid wsp:val=&quot;004E6DC8&quot;/&gt;&lt;wsp:rsid wsp:val=&quot;004E6ED4&quot;/&gt;&lt;wsp:rsid wsp:val=&quot;004F03F3&quot;/&gt;&lt;wsp:rsid wsp:val=&quot;004F0AAB&quot;/&gt;&lt;wsp:rsid wsp:val=&quot;004F0BD1&quot;/&gt;&lt;wsp:rsid wsp:val=&quot;004F0F9D&quot;/&gt;&lt;wsp:rsid wsp:val=&quot;004F11CB&quot;/&gt;&lt;wsp:rsid wsp:val=&quot;004F156A&quot;/&gt;&lt;wsp:rsid wsp:val=&quot;004F1B7A&quot;/&gt;&lt;wsp:rsid wsp:val=&quot;004F2F7E&quot;/&gt;&lt;wsp:rsid wsp:val=&quot;004F310E&quot;/&gt;&lt;wsp:rsid wsp:val=&quot;004F3522&quot;/&gt;&lt;wsp:rsid wsp:val=&quot;004F3F65&quot;/&gt;&lt;wsp:rsid wsp:val=&quot;004F4537&quot;/&gt;&lt;wsp:rsid wsp:val=&quot;004F458F&quot;/&gt;&lt;wsp:rsid wsp:val=&quot;004F59F5&quot;/&gt;&lt;wsp:rsid wsp:val=&quot;004F5EC1&quot;/&gt;&lt;wsp:rsid wsp:val=&quot;004F6955&quot;/&gt;&lt;wsp:rsid wsp:val=&quot;004F6AF3&quot;/&gt;&lt;wsp:rsid wsp:val=&quot;004F707D&quot;/&gt;&lt;wsp:rsid wsp:val=&quot;004F731A&quot;/&gt;&lt;wsp:rsid wsp:val=&quot;004F752B&quot;/&gt;&lt;wsp:rsid wsp:val=&quot;004F7D84&quot;/&gt;&lt;wsp:rsid wsp:val=&quot;00500957&quot;/&gt;&lt;wsp:rsid wsp:val=&quot;00501114&quot;/&gt;&lt;wsp:rsid wsp:val=&quot;00501160&quot;/&gt;&lt;wsp:rsid wsp:val=&quot;0050135A&quot;/&gt;&lt;wsp:rsid wsp:val=&quot;00501B2E&quot;/&gt;&lt;wsp:rsid wsp:val=&quot;00501BF5&quot;/&gt;&lt;wsp:rsid wsp:val=&quot;00501FA8&quot;/&gt;&lt;wsp:rsid wsp:val=&quot;0050233A&quot;/&gt;&lt;wsp:rsid wsp:val=&quot;00502EFF&quot;/&gt;&lt;wsp:rsid wsp:val=&quot;005031DD&quot;/&gt;&lt;wsp:rsid wsp:val=&quot;00503735&quot;/&gt;&lt;wsp:rsid wsp:val=&quot;005044AD&quot;/&gt;&lt;wsp:rsid wsp:val=&quot;00505A03&quot;/&gt;&lt;wsp:rsid wsp:val=&quot;00505F22&quot;/&gt;&lt;wsp:rsid wsp:val=&quot;00505FD6&quot;/&gt;&lt;wsp:rsid wsp:val=&quot;005060E4&quot;/&gt;&lt;wsp:rsid wsp:val=&quot;0050620E&quot;/&gt;&lt;wsp:rsid wsp:val=&quot;005063CF&quot;/&gt;&lt;wsp:rsid wsp:val=&quot;005064B8&quot;/&gt;&lt;wsp:rsid wsp:val=&quot;00506A24&quot;/&gt;&lt;wsp:rsid wsp:val=&quot;00506E36&quot;/&gt;&lt;wsp:rsid wsp:val=&quot;00506FC8&quot;/&gt;&lt;wsp:rsid wsp:val=&quot;00507322&quot;/&gt;&lt;wsp:rsid wsp:val=&quot;00507D99&quot;/&gt;&lt;wsp:rsid wsp:val=&quot;005105A2&quot;/&gt;&lt;wsp:rsid wsp:val=&quot;005107D4&quot;/&gt;&lt;wsp:rsid wsp:val=&quot;00511BA5&quot;/&gt;&lt;wsp:rsid wsp:val=&quot;00512D30&quot;/&gt;&lt;wsp:rsid wsp:val=&quot;005135BE&quot;/&gt;&lt;wsp:rsid wsp:val=&quot;00513C73&quot;/&gt;&lt;wsp:rsid wsp:val=&quot;00513DE8&quot;/&gt;&lt;wsp:rsid wsp:val=&quot;00514538&quot;/&gt;&lt;wsp:rsid wsp:val=&quot;005149CE&quot;/&gt;&lt;wsp:rsid wsp:val=&quot;00514CA5&quot;/&gt;&lt;wsp:rsid wsp:val=&quot;00515416&quot;/&gt;&lt;wsp:rsid wsp:val=&quot;00515511&quot;/&gt;&lt;wsp:rsid wsp:val=&quot;00515F44&quot;/&gt;&lt;wsp:rsid wsp:val=&quot;0051655B&quot;/&gt;&lt;wsp:rsid wsp:val=&quot;00516982&quot;/&gt;&lt;wsp:rsid wsp:val=&quot;00516C8D&quot;/&gt;&lt;wsp:rsid wsp:val=&quot;00516FA8&quot;/&gt;&lt;wsp:rsid wsp:val=&quot;00517162&quot;/&gt;&lt;wsp:rsid wsp:val=&quot;00517177&quot;/&gt;&lt;wsp:rsid wsp:val=&quot;005173B9&quot;/&gt;&lt;wsp:rsid wsp:val=&quot;00517C81&quot;/&gt;&lt;wsp:rsid wsp:val=&quot;00517DC4&quot;/&gt;&lt;wsp:rsid wsp:val=&quot;00517FF6&quot;/&gt;&lt;wsp:rsid wsp:val=&quot;0052011B&quot;/&gt;&lt;wsp:rsid wsp:val=&quot;005201C1&quot;/&gt;&lt;wsp:rsid wsp:val=&quot;00520640&quot;/&gt;&lt;wsp:rsid wsp:val=&quot;00520AFE&quot;/&gt;&lt;wsp:rsid wsp:val=&quot;00520C42&quot;/&gt;&lt;wsp:rsid wsp:val=&quot;00520F31&quot;/&gt;&lt;wsp:rsid wsp:val=&quot;00520FBB&quot;/&gt;&lt;wsp:rsid wsp:val=&quot;00521106&quot;/&gt;&lt;wsp:rsid wsp:val=&quot;00521124&quot;/&gt;&lt;wsp:rsid wsp:val=&quot;005211E1&quot;/&gt;&lt;wsp:rsid wsp:val=&quot;00522158&quot;/&gt;&lt;wsp:rsid wsp:val=&quot;0052241D&quot;/&gt;&lt;wsp:rsid wsp:val=&quot;00522728&quot;/&gt;&lt;wsp:rsid wsp:val=&quot;00522C77&quot;/&gt;&lt;wsp:rsid wsp:val=&quot;00522EF6&quot;/&gt;&lt;wsp:rsid wsp:val=&quot;00523129&quot;/&gt;&lt;wsp:rsid wsp:val=&quot;00523288&quot;/&gt;&lt;wsp:rsid wsp:val=&quot;00523340&quot;/&gt;&lt;wsp:rsid wsp:val=&quot;005234BA&quot;/&gt;&lt;wsp:rsid wsp:val=&quot;00523F14&quot;/&gt;&lt;wsp:rsid wsp:val=&quot;00524032&quot;/&gt;&lt;wsp:rsid wsp:val=&quot;00524036&quot;/&gt;&lt;wsp:rsid wsp:val=&quot;0052417D&quot;/&gt;&lt;wsp:rsid wsp:val=&quot;00524A2B&quot;/&gt;&lt;wsp:rsid wsp:val=&quot;00524B1D&quot;/&gt;&lt;wsp:rsid wsp:val=&quot;00525A84&quot;/&gt;&lt;wsp:rsid wsp:val=&quot;00525AF9&quot;/&gt;&lt;wsp:rsid wsp:val=&quot;00526EA3&quot;/&gt;&lt;wsp:rsid wsp:val=&quot;00527423&quot;/&gt;&lt;wsp:rsid wsp:val=&quot;0052767C&quot;/&gt;&lt;wsp:rsid wsp:val=&quot;005276BC&quot;/&gt;&lt;wsp:rsid wsp:val=&quot;005277A9&quot;/&gt;&lt;wsp:rsid wsp:val=&quot;005279A1&quot;/&gt;&lt;wsp:rsid wsp:val=&quot;00527ADC&quot;/&gt;&lt;wsp:rsid wsp:val=&quot;0053020D&quot;/&gt;&lt;wsp:rsid wsp:val=&quot;00530478&quot;/&gt;&lt;wsp:rsid wsp:val=&quot;00530AD4&quot;/&gt;&lt;wsp:rsid wsp:val=&quot;00531189&quot;/&gt;&lt;wsp:rsid wsp:val=&quot;00531929&quot;/&gt;&lt;wsp:rsid wsp:val=&quot;00531A4D&quot;/&gt;&lt;wsp:rsid wsp:val=&quot;005320AD&quot;/&gt;&lt;wsp:rsid wsp:val=&quot;0053312B&quot;/&gt;&lt;wsp:rsid wsp:val=&quot;005331E3&quot;/&gt;&lt;wsp:rsid wsp:val=&quot;00533BB6&quot;/&gt;&lt;wsp:rsid wsp:val=&quot;00534244&quot;/&gt;&lt;wsp:rsid wsp:val=&quot;00534B63&quot;/&gt;&lt;wsp:rsid wsp:val=&quot;00534D2E&quot;/&gt;&lt;wsp:rsid wsp:val=&quot;0053508B&quot;/&gt;&lt;wsp:rsid wsp:val=&quot;00535479&quot;/&gt;&lt;wsp:rsid wsp:val=&quot;00535D75&quot;/&gt;&lt;wsp:rsid wsp:val=&quot;00535F1F&quot;/&gt;&lt;wsp:rsid wsp:val=&quot;0053600B&quot;/&gt;&lt;wsp:rsid wsp:val=&quot;0053643D&quot;/&gt;&lt;wsp:rsid wsp:val=&quot;005366B9&quot;/&gt;&lt;wsp:rsid wsp:val=&quot;00536718&quot;/&gt;&lt;wsp:rsid wsp:val=&quot;00536B9C&quot;/&gt;&lt;wsp:rsid wsp:val=&quot;00537008&quot;/&gt;&lt;wsp:rsid wsp:val=&quot;005370EE&quot;/&gt;&lt;wsp:rsid wsp:val=&quot;005371C9&quot;/&gt;&lt;wsp:rsid wsp:val=&quot;0053755A&quot;/&gt;&lt;wsp:rsid wsp:val=&quot;00537B43&quot;/&gt;&lt;wsp:rsid wsp:val=&quot;00540074&quot;/&gt;&lt;wsp:rsid wsp:val=&quot;005401FC&quot;/&gt;&lt;wsp:rsid wsp:val=&quot;00540378&quot;/&gt;&lt;wsp:rsid wsp:val=&quot;00540D5A&quot;/&gt;&lt;wsp:rsid wsp:val=&quot;00541176&quot;/&gt;&lt;wsp:rsid wsp:val=&quot;0054160A&quot;/&gt;&lt;wsp:rsid wsp:val=&quot;00541830&quot;/&gt;&lt;wsp:rsid wsp:val=&quot;005419DA&quot;/&gt;&lt;wsp:rsid wsp:val=&quot;005419DC&quot;/&gt;&lt;wsp:rsid wsp:val=&quot;0054224A&quot;/&gt;&lt;wsp:rsid wsp:val=&quot;0054267C&quot;/&gt;&lt;wsp:rsid wsp:val=&quot;00542B90&quot;/&gt;&lt;wsp:rsid wsp:val=&quot;00542C03&quot;/&gt;&lt;wsp:rsid wsp:val=&quot;00542CDB&quot;/&gt;&lt;wsp:rsid wsp:val=&quot;0054343B&quot;/&gt;&lt;wsp:rsid wsp:val=&quot;0054358B&quot;/&gt;&lt;wsp:rsid wsp:val=&quot;005445B1&quot;/&gt;&lt;wsp:rsid wsp:val=&quot;00544FD5&quot;/&gt;&lt;wsp:rsid wsp:val=&quot;0054549D&quot;/&gt;&lt;wsp:rsid wsp:val=&quot;0054561E&quot;/&gt;&lt;wsp:rsid wsp:val=&quot;0054579D&quot;/&gt;&lt;wsp:rsid wsp:val=&quot;00545903&quot;/&gt;&lt;wsp:rsid wsp:val=&quot;0054628C&quot;/&gt;&lt;wsp:rsid wsp:val=&quot;0054645B&quot;/&gt;&lt;wsp:rsid wsp:val=&quot;00546883&quot;/&gt;&lt;wsp:rsid wsp:val=&quot;0054703F&quot;/&gt;&lt;wsp:rsid wsp:val=&quot;005474EB&quot;/&gt;&lt;wsp:rsid wsp:val=&quot;00550021&quot;/&gt;&lt;wsp:rsid wsp:val=&quot;005500D7&quot;/&gt;&lt;wsp:rsid wsp:val=&quot;0055016F&quot;/&gt;&lt;wsp:rsid wsp:val=&quot;0055026C&quot;/&gt;&lt;wsp:rsid wsp:val=&quot;005502C6&quot;/&gt;&lt;wsp:rsid wsp:val=&quot;00550351&quot;/&gt;&lt;wsp:rsid wsp:val=&quot;0055060F&quot;/&gt;&lt;wsp:rsid wsp:val=&quot;00550721&quot;/&gt;&lt;wsp:rsid wsp:val=&quot;005510AB&quot;/&gt;&lt;wsp:rsid wsp:val=&quot;00551363&quot;/&gt;&lt;wsp:rsid wsp:val=&quot;005520F3&quot;/&gt;&lt;wsp:rsid wsp:val=&quot;00552840&quot;/&gt;&lt;wsp:rsid wsp:val=&quot;00552859&quot;/&gt;&lt;wsp:rsid wsp:val=&quot;005531E9&quot;/&gt;&lt;wsp:rsid wsp:val=&quot;00553D58&quot;/&gt;&lt;wsp:rsid wsp:val=&quot;00553D69&quot;/&gt;&lt;wsp:rsid wsp:val=&quot;005541B6&quot;/&gt;&lt;wsp:rsid wsp:val=&quot;005551F4&quot;/&gt;&lt;wsp:rsid wsp:val=&quot;0055551A&quot;/&gt;&lt;wsp:rsid wsp:val=&quot;005556E9&quot;/&gt;&lt;wsp:rsid wsp:val=&quot;00555B80&quot;/&gt;&lt;wsp:rsid wsp:val=&quot;00556986&quot;/&gt;&lt;wsp:rsid wsp:val=&quot;00556E18&quot;/&gt;&lt;wsp:rsid wsp:val=&quot;00557046&quot;/&gt;&lt;wsp:rsid wsp:val=&quot;0055729E&quot;/&gt;&lt;wsp:rsid wsp:val=&quot;00557397&quot;/&gt;&lt;wsp:rsid wsp:val=&quot;00557516&quot;/&gt;&lt;wsp:rsid wsp:val=&quot;0056015F&quot;/&gt;&lt;wsp:rsid wsp:val=&quot;00560192&quot;/&gt;&lt;wsp:rsid wsp:val=&quot;005609FD&quot;/&gt;&lt;wsp:rsid wsp:val=&quot;00560A92&quot;/&gt;&lt;wsp:rsid wsp:val=&quot;00560FA3&quot;/&gt;&lt;wsp:rsid wsp:val=&quot;005611C3&quot;/&gt;&lt;wsp:rsid wsp:val=&quot;00561619&quot;/&gt;&lt;wsp:rsid wsp:val=&quot;00561C26&quot;/&gt;&lt;wsp:rsid wsp:val=&quot;00561F2D&quot;/&gt;&lt;wsp:rsid wsp:val=&quot;00562467&quot;/&gt;&lt;wsp:rsid wsp:val=&quot;0056300D&quot;/&gt;&lt;wsp:rsid wsp:val=&quot;00563206&quot;/&gt;&lt;wsp:rsid wsp:val=&quot;0056347A&quot;/&gt;&lt;wsp:rsid wsp:val=&quot;00564208&quot;/&gt;&lt;wsp:rsid wsp:val=&quot;0056622A&quot;/&gt;&lt;wsp:rsid wsp:val=&quot;00566334&quot;/&gt;&lt;wsp:rsid wsp:val=&quot;00566C20&quot;/&gt;&lt;wsp:rsid wsp:val=&quot;00567187&quot;/&gt;&lt;wsp:rsid wsp:val=&quot;00567391&quot;/&gt;&lt;wsp:rsid wsp:val=&quot;005673B9&quot;/&gt;&lt;wsp:rsid wsp:val=&quot;00567482&quot;/&gt;&lt;wsp:rsid wsp:val=&quot;005674DA&quot;/&gt;&lt;wsp:rsid wsp:val=&quot;00567D81&quot;/&gt;&lt;wsp:rsid wsp:val=&quot;00567E60&quot;/&gt;&lt;wsp:rsid wsp:val=&quot;005701A5&quot;/&gt;&lt;wsp:rsid wsp:val=&quot;005704EF&quot;/&gt;&lt;wsp:rsid wsp:val=&quot;00570AD7&quot;/&gt;&lt;wsp:rsid wsp:val=&quot;00570FE8&quot;/&gt;&lt;wsp:rsid wsp:val=&quot;00572095&quot;/&gt;&lt;wsp:rsid wsp:val=&quot;005720AC&quot;/&gt;&lt;wsp:rsid wsp:val=&quot;005721FE&quot;/&gt;&lt;wsp:rsid wsp:val=&quot;0057386C&quot;/&gt;&lt;wsp:rsid wsp:val=&quot;00573C43&quot;/&gt;&lt;wsp:rsid wsp:val=&quot;0057512C&quot;/&gt;&lt;wsp:rsid wsp:val=&quot;005767D3&quot;/&gt;&lt;wsp:rsid wsp:val=&quot;00576959&quot;/&gt;&lt;wsp:rsid wsp:val=&quot;005772C2&quot;/&gt;&lt;wsp:rsid wsp:val=&quot;00577A6D&quot;/&gt;&lt;wsp:rsid wsp:val=&quot;00577D11&quot;/&gt;&lt;wsp:rsid wsp:val=&quot;00577D5D&quot;/&gt;&lt;wsp:rsid wsp:val=&quot;005802B5&quot;/&gt;&lt;wsp:rsid wsp:val=&quot;005809EC&quot;/&gt;&lt;wsp:rsid wsp:val=&quot;00581423&quot;/&gt;&lt;wsp:rsid wsp:val=&quot;0058160B&quot;/&gt;&lt;wsp:rsid wsp:val=&quot;00581A54&quot;/&gt;&lt;wsp:rsid wsp:val=&quot;00581FD0&quot;/&gt;&lt;wsp:rsid wsp:val=&quot;00582AA7&quot;/&gt;&lt;wsp:rsid wsp:val=&quot;00582FA6&quot;/&gt;&lt;wsp:rsid wsp:val=&quot;0058334F&quot;/&gt;&lt;wsp:rsid wsp:val=&quot;005833EC&quot;/&gt;&lt;wsp:rsid wsp:val=&quot;00583891&quot;/&gt;&lt;wsp:rsid wsp:val=&quot;00583E28&quot;/&gt;&lt;wsp:rsid wsp:val=&quot;00583FB4&quot;/&gt;&lt;wsp:rsid wsp:val=&quot;005852F8&quot;/&gt;&lt;wsp:rsid wsp:val=&quot;00585540&quot;/&gt;&lt;wsp:rsid wsp:val=&quot;00585568&quot;/&gt;&lt;wsp:rsid wsp:val=&quot;0058594A&quot;/&gt;&lt;wsp:rsid wsp:val=&quot;00585A7D&quot;/&gt;&lt;wsp:rsid wsp:val=&quot;00585E72&quot;/&gt;&lt;wsp:rsid wsp:val=&quot;00586083&quot;/&gt;&lt;wsp:rsid wsp:val=&quot;00587375&quot;/&gt;&lt;wsp:rsid wsp:val=&quot;00587889&quot;/&gt;&lt;wsp:rsid wsp:val=&quot;0059018B&quot;/&gt;&lt;wsp:rsid wsp:val=&quot;0059043C&quot;/&gt;&lt;wsp:rsid wsp:val=&quot;00590593&quot;/&gt;&lt;wsp:rsid wsp:val=&quot;00590F56&quot;/&gt;&lt;wsp:rsid wsp:val=&quot;00591AD2&quot;/&gt;&lt;wsp:rsid wsp:val=&quot;00591AF9&quot;/&gt;&lt;wsp:rsid wsp:val=&quot;00591EAB&quot;/&gt;&lt;wsp:rsid wsp:val=&quot;00591F0E&quot;/&gt;&lt;wsp:rsid wsp:val=&quot;00592116&quot;/&gt;&lt;wsp:rsid wsp:val=&quot;00592850&quot;/&gt;&lt;wsp:rsid wsp:val=&quot;00592A0A&quot;/&gt;&lt;wsp:rsid wsp:val=&quot;00592BC6&quot;/&gt;&lt;wsp:rsid wsp:val=&quot;00592E42&quot;/&gt;&lt;wsp:rsid wsp:val=&quot;00593425&quot;/&gt;&lt;wsp:rsid wsp:val=&quot;0059390C&quot;/&gt;&lt;wsp:rsid wsp:val=&quot;00593F6A&quot;/&gt;&lt;wsp:rsid wsp:val=&quot;0059412D&quot;/&gt;&lt;wsp:rsid wsp:val=&quot;0059536B&quot;/&gt;&lt;wsp:rsid wsp:val=&quot;00595F34&quot;/&gt;&lt;wsp:rsid wsp:val=&quot;00596211&quot;/&gt;&lt;wsp:rsid wsp:val=&quot;0059646C&quot;/&gt;&lt;wsp:rsid wsp:val=&quot;00596C09&quot;/&gt;&lt;wsp:rsid wsp:val=&quot;005978CC&quot;/&gt;&lt;wsp:rsid wsp:val=&quot;00597DD4&quot;/&gt;&lt;wsp:rsid wsp:val=&quot;00597F13&quot;/&gt;&lt;wsp:rsid wsp:val=&quot;00597F3B&quot;/&gt;&lt;wsp:rsid wsp:val=&quot;005A03B5&quot;/&gt;&lt;wsp:rsid wsp:val=&quot;005A09D0&quot;/&gt;&lt;wsp:rsid wsp:val=&quot;005A139D&quot;/&gt;&lt;wsp:rsid wsp:val=&quot;005A1591&quot;/&gt;&lt;wsp:rsid wsp:val=&quot;005A15D9&quot;/&gt;&lt;wsp:rsid wsp:val=&quot;005A16C1&quot;/&gt;&lt;wsp:rsid wsp:val=&quot;005A1C02&quot;/&gt;&lt;wsp:rsid wsp:val=&quot;005A1FBE&quot;/&gt;&lt;wsp:rsid wsp:val=&quot;005A2FC2&quot;/&gt;&lt;wsp:rsid wsp:val=&quot;005A31B9&quot;/&gt;&lt;wsp:rsid wsp:val=&quot;005A343E&quot;/&gt;&lt;wsp:rsid wsp:val=&quot;005A3918&quot;/&gt;&lt;wsp:rsid wsp:val=&quot;005A3B73&quot;/&gt;&lt;wsp:rsid wsp:val=&quot;005A3BF9&quot;/&gt;&lt;wsp:rsid wsp:val=&quot;005A3E0E&quot;/&gt;&lt;wsp:rsid wsp:val=&quot;005A4526&quot;/&gt;&lt;wsp:rsid wsp:val=&quot;005A499B&quot;/&gt;&lt;wsp:rsid wsp:val=&quot;005A5042&quot;/&gt;&lt;wsp:rsid wsp:val=&quot;005A5167&quot;/&gt;&lt;wsp:rsid wsp:val=&quot;005A5ABC&quot;/&gt;&lt;wsp:rsid wsp:val=&quot;005A5EB6&quot;/&gt;&lt;wsp:rsid wsp:val=&quot;005A5F9F&quot;/&gt;&lt;wsp:rsid wsp:val=&quot;005A6D6C&quot;/&gt;&lt;wsp:rsid wsp:val=&quot;005A7965&quot;/&gt;&lt;wsp:rsid wsp:val=&quot;005A7FFC&quot;/&gt;&lt;wsp:rsid wsp:val=&quot;005B00E9&quot;/&gt;&lt;wsp:rsid wsp:val=&quot;005B01B3&quot;/&gt;&lt;wsp:rsid wsp:val=&quot;005B041C&quot;/&gt;&lt;wsp:rsid wsp:val=&quot;005B07BA&quot;/&gt;&lt;wsp:rsid wsp:val=&quot;005B0C96&quot;/&gt;&lt;wsp:rsid wsp:val=&quot;005B0F8D&quot;/&gt;&lt;wsp:rsid wsp:val=&quot;005B158E&quot;/&gt;&lt;wsp:rsid wsp:val=&quot;005B1710&quot;/&gt;&lt;wsp:rsid wsp:val=&quot;005B213D&quot;/&gt;&lt;wsp:rsid wsp:val=&quot;005B238F&quot;/&gt;&lt;wsp:rsid wsp:val=&quot;005B28A7&quot;/&gt;&lt;wsp:rsid wsp:val=&quot;005B3168&quot;/&gt;&lt;wsp:rsid wsp:val=&quot;005B327A&quot;/&gt;&lt;wsp:rsid wsp:val=&quot;005B484A&quot;/&gt;&lt;wsp:rsid wsp:val=&quot;005B5EB8&quot;/&gt;&lt;wsp:rsid wsp:val=&quot;005B6333&quot;/&gt;&lt;wsp:rsid wsp:val=&quot;005B6B85&quot;/&gt;&lt;wsp:rsid wsp:val=&quot;005B74BF&quot;/&gt;&lt;wsp:rsid wsp:val=&quot;005B78D4&quot;/&gt;&lt;wsp:rsid wsp:val=&quot;005B7A00&quot;/&gt;&lt;wsp:rsid wsp:val=&quot;005C063E&quot;/&gt;&lt;wsp:rsid wsp:val=&quot;005C14F9&quot;/&gt;&lt;wsp:rsid wsp:val=&quot;005C1682&quot;/&gt;&lt;wsp:rsid wsp:val=&quot;005C1B9B&quot;/&gt;&lt;wsp:rsid wsp:val=&quot;005C1DD5&quot;/&gt;&lt;wsp:rsid wsp:val=&quot;005C1DDD&quot;/&gt;&lt;wsp:rsid wsp:val=&quot;005C1F42&quot;/&gt;&lt;wsp:rsid wsp:val=&quot;005C2216&quot;/&gt;&lt;wsp:rsid wsp:val=&quot;005C2311&quot;/&gt;&lt;wsp:rsid wsp:val=&quot;005C244B&quot;/&gt;&lt;wsp:rsid wsp:val=&quot;005C2868&quot;/&gt;&lt;wsp:rsid wsp:val=&quot;005C302A&quot;/&gt;&lt;wsp:rsid wsp:val=&quot;005C3154&quot;/&gt;&lt;wsp:rsid wsp:val=&quot;005C358D&quot;/&gt;&lt;wsp:rsid wsp:val=&quot;005C3CBB&quot;/&gt;&lt;wsp:rsid wsp:val=&quot;005C4038&quot;/&gt;&lt;wsp:rsid wsp:val=&quot;005C4DE5&quot;/&gt;&lt;wsp:rsid wsp:val=&quot;005C4E76&quot;/&gt;&lt;wsp:rsid wsp:val=&quot;005C55AA&quot;/&gt;&lt;wsp:rsid wsp:val=&quot;005C63F7&quot;/&gt;&lt;wsp:rsid wsp:val=&quot;005C6E3F&quot;/&gt;&lt;wsp:rsid wsp:val=&quot;005C73FF&quot;/&gt;&lt;wsp:rsid wsp:val=&quot;005C778B&quot;/&gt;&lt;wsp:rsid wsp:val=&quot;005D03CF&quot;/&gt;&lt;wsp:rsid wsp:val=&quot;005D05FE&quot;/&gt;&lt;wsp:rsid wsp:val=&quot;005D08CE&quot;/&gt;&lt;wsp:rsid wsp:val=&quot;005D0928&quot;/&gt;&lt;wsp:rsid wsp:val=&quot;005D13C7&quot;/&gt;&lt;wsp:rsid wsp:val=&quot;005D1940&quot;/&gt;&lt;wsp:rsid wsp:val=&quot;005D199F&quot;/&gt;&lt;wsp:rsid wsp:val=&quot;005D22A1&quot;/&gt;&lt;wsp:rsid wsp:val=&quot;005D2ADC&quot;/&gt;&lt;wsp:rsid wsp:val=&quot;005D2EBF&quot;/&gt;&lt;wsp:rsid wsp:val=&quot;005D3722&quot;/&gt;&lt;wsp:rsid wsp:val=&quot;005D39E3&quot;/&gt;&lt;wsp:rsid wsp:val=&quot;005D3B91&quot;/&gt;&lt;wsp:rsid wsp:val=&quot;005D3CB9&quot;/&gt;&lt;wsp:rsid wsp:val=&quot;005D3D1E&quot;/&gt;&lt;wsp:rsid wsp:val=&quot;005D3DA1&quot;/&gt;&lt;wsp:rsid wsp:val=&quot;005D5FE3&quot;/&gt;&lt;wsp:rsid wsp:val=&quot;005D6017&quot;/&gt;&lt;wsp:rsid wsp:val=&quot;005D7118&quot;/&gt;&lt;wsp:rsid wsp:val=&quot;005D717D&quot;/&gt;&lt;wsp:rsid wsp:val=&quot;005D78C8&quot;/&gt;&lt;wsp:rsid wsp:val=&quot;005D7C7C&quot;/&gt;&lt;wsp:rsid wsp:val=&quot;005E0A1A&quot;/&gt;&lt;wsp:rsid wsp:val=&quot;005E0D3D&quot;/&gt;&lt;wsp:rsid wsp:val=&quot;005E2204&quot;/&gt;&lt;wsp:rsid wsp:val=&quot;005E3432&quot;/&gt;&lt;wsp:rsid wsp:val=&quot;005E385D&quot;/&gt;&lt;wsp:rsid wsp:val=&quot;005E3F91&quot;/&gt;&lt;wsp:rsid wsp:val=&quot;005E4150&quot;/&gt;&lt;wsp:rsid wsp:val=&quot;005E45D5&quot;/&gt;&lt;wsp:rsid wsp:val=&quot;005E46A0&quot;/&gt;&lt;wsp:rsid wsp:val=&quot;005E478D&quot;/&gt;&lt;wsp:rsid wsp:val=&quot;005E48D3&quot;/&gt;&lt;wsp:rsid wsp:val=&quot;005E4AA4&quot;/&gt;&lt;wsp:rsid wsp:val=&quot;005E51E2&quot;/&gt;&lt;wsp:rsid wsp:val=&quot;005E7217&quot;/&gt;&lt;wsp:rsid wsp:val=&quot;005E7C32&quot;/&gt;&lt;wsp:rsid wsp:val=&quot;005F00D7&quot;/&gt;&lt;wsp:rsid wsp:val=&quot;005F07F6&quot;/&gt;&lt;wsp:rsid wsp:val=&quot;005F1078&quot;/&gt;&lt;wsp:rsid wsp:val=&quot;005F109D&quot;/&gt;&lt;wsp:rsid wsp:val=&quot;005F1367&quot;/&gt;&lt;wsp:rsid wsp:val=&quot;005F1623&quot;/&gt;&lt;wsp:rsid wsp:val=&quot;005F18F4&quot;/&gt;&lt;wsp:rsid wsp:val=&quot;005F1BAF&quot;/&gt;&lt;wsp:rsid wsp:val=&quot;005F1BEC&quot;/&gt;&lt;wsp:rsid wsp:val=&quot;005F24EB&quot;/&gt;&lt;wsp:rsid wsp:val=&quot;005F26F7&quot;/&gt;&lt;wsp:rsid wsp:val=&quot;005F299D&quot;/&gt;&lt;wsp:rsid wsp:val=&quot;005F29EA&quot;/&gt;&lt;wsp:rsid wsp:val=&quot;005F2AD5&quot;/&gt;&lt;wsp:rsid wsp:val=&quot;005F301F&quot;/&gt;&lt;wsp:rsid wsp:val=&quot;005F3604&quot;/&gt;&lt;wsp:rsid wsp:val=&quot;005F3EF5&quot;/&gt;&lt;wsp:rsid wsp:val=&quot;005F5956&quot;/&gt;&lt;wsp:rsid wsp:val=&quot;005F5B5B&quot;/&gt;&lt;wsp:rsid wsp:val=&quot;005F5CCA&quot;/&gt;&lt;wsp:rsid wsp:val=&quot;005F6E39&quot;/&gt;&lt;wsp:rsid wsp:val=&quot;005F70C8&quot;/&gt;&lt;wsp:rsid wsp:val=&quot;005F7C57&quot;/&gt;&lt;wsp:rsid wsp:val=&quot;005F7CC5&quot;/&gt;&lt;wsp:rsid wsp:val=&quot;00600915&quot;/&gt;&lt;wsp:rsid wsp:val=&quot;00600B3A&quot;/&gt;&lt;wsp:rsid wsp:val=&quot;00601D10&quot;/&gt;&lt;wsp:rsid wsp:val=&quot;00601F18&quot;/&gt;&lt;wsp:rsid wsp:val=&quot;0060214B&quot;/&gt;&lt;wsp:rsid wsp:val=&quot;0060235B&quot;/&gt;&lt;wsp:rsid wsp:val=&quot;006027E9&quot;/&gt;&lt;wsp:rsid wsp:val=&quot;00602A5A&quot;/&gt;&lt;wsp:rsid wsp:val=&quot;00602FD5&quot;/&gt;&lt;wsp:rsid wsp:val=&quot;006031AF&quot;/&gt;&lt;wsp:rsid wsp:val=&quot;0060401C&quot;/&gt;&lt;wsp:rsid wsp:val=&quot;00605089&quot;/&gt;&lt;wsp:rsid wsp:val=&quot;00606238&quot;/&gt;&lt;wsp:rsid wsp:val=&quot;00606FA6&quot;/&gt;&lt;wsp:rsid wsp:val=&quot;00607225&quot;/&gt;&lt;wsp:rsid wsp:val=&quot;006101E3&quot;/&gt;&lt;wsp:rsid wsp:val=&quot;006108C6&quot;/&gt;&lt;wsp:rsid wsp:val=&quot;0061131A&quot;/&gt;&lt;wsp:rsid wsp:val=&quot;006115D8&quot;/&gt;&lt;wsp:rsid wsp:val=&quot;0061254E&quot;/&gt;&lt;wsp:rsid wsp:val=&quot;00612A01&quot;/&gt;&lt;wsp:rsid wsp:val=&quot;00612D7F&quot;/&gt;&lt;wsp:rsid wsp:val=&quot;00613150&quot;/&gt;&lt;wsp:rsid wsp:val=&quot;00613300&quot;/&gt;&lt;wsp:rsid wsp:val=&quot;006134C5&quot;/&gt;&lt;wsp:rsid wsp:val=&quot;00613C9E&quot;/&gt;&lt;wsp:rsid wsp:val=&quot;00613DD2&quot;/&gt;&lt;wsp:rsid wsp:val=&quot;00613EA0&quot;/&gt;&lt;wsp:rsid wsp:val=&quot;00614A1B&quot;/&gt;&lt;wsp:rsid wsp:val=&quot;00614B09&quot;/&gt;&lt;wsp:rsid wsp:val=&quot;00615BE4&quot;/&gt;&lt;wsp:rsid wsp:val=&quot;00615DAD&quot;/&gt;&lt;wsp:rsid wsp:val=&quot;00616364&quot;/&gt;&lt;wsp:rsid wsp:val=&quot;00616A66&quot;/&gt;&lt;wsp:rsid wsp:val=&quot;00616EB1&quot;/&gt;&lt;wsp:rsid wsp:val=&quot;00616FB0&quot;/&gt;&lt;wsp:rsid wsp:val=&quot;006176D6&quot;/&gt;&lt;wsp:rsid wsp:val=&quot;006219E8&quot;/&gt;&lt;wsp:rsid wsp:val=&quot;00621B2F&quot;/&gt;&lt;wsp:rsid wsp:val=&quot;00621EB8&quot;/&gt;&lt;wsp:rsid wsp:val=&quot;006222D5&quot;/&gt;&lt;wsp:rsid wsp:val=&quot;006227A9&quot;/&gt;&lt;wsp:rsid wsp:val=&quot;006228FB&quot;/&gt;&lt;wsp:rsid wsp:val=&quot;006233E9&quot;/&gt;&lt;wsp:rsid wsp:val=&quot;006235AF&quot;/&gt;&lt;wsp:rsid wsp:val=&quot;00623654&quot;/&gt;&lt;wsp:rsid wsp:val=&quot;00623664&quot;/&gt;&lt;wsp:rsid wsp:val=&quot;00624BED&quot;/&gt;&lt;wsp:rsid wsp:val=&quot;00624C33&quot;/&gt;&lt;wsp:rsid wsp:val=&quot;00625AB4&quot;/&gt;&lt;wsp:rsid wsp:val=&quot;00625C4F&quot;/&gt;&lt;wsp:rsid wsp:val=&quot;00625D26&quot;/&gt;&lt;wsp:rsid wsp:val=&quot;00625E4D&quot;/&gt;&lt;wsp:rsid wsp:val=&quot;00625F2B&quot;/&gt;&lt;wsp:rsid wsp:val=&quot;00630327&quot;/&gt;&lt;wsp:rsid wsp:val=&quot;00630A45&quot;/&gt;&lt;wsp:rsid wsp:val=&quot;00630C2E&quot;/&gt;&lt;wsp:rsid wsp:val=&quot;00630F24&quot;/&gt;&lt;wsp:rsid wsp:val=&quot;00631515&quot;/&gt;&lt;wsp:rsid wsp:val=&quot;00631724&quot;/&gt;&lt;wsp:rsid wsp:val=&quot;00631767&quot;/&gt;&lt;wsp:rsid wsp:val=&quot;006318FA&quot;/&gt;&lt;wsp:rsid wsp:val=&quot;00631DE2&quot;/&gt;&lt;wsp:rsid wsp:val=&quot;00632746&quot;/&gt;&lt;wsp:rsid wsp:val=&quot;00632C47&quot;/&gt;&lt;wsp:rsid wsp:val=&quot;00633283&quot;/&gt;&lt;wsp:rsid wsp:val=&quot;00633D05&quot;/&gt;&lt;wsp:rsid wsp:val=&quot;00633EBA&quot;/&gt;&lt;wsp:rsid wsp:val=&quot;0063428B&quot;/&gt;&lt;wsp:rsid wsp:val=&quot;00634330&quot;/&gt;&lt;wsp:rsid wsp:val=&quot;00634553&quot;/&gt;&lt;wsp:rsid wsp:val=&quot;00634A6B&quot;/&gt;&lt;wsp:rsid wsp:val=&quot;00634BAB&quot;/&gt;&lt;wsp:rsid wsp:val=&quot;006359C4&quot;/&gt;&lt;wsp:rsid wsp:val=&quot;0063606D&quot;/&gt;&lt;wsp:rsid wsp:val=&quot;00636093&quot;/&gt;&lt;wsp:rsid wsp:val=&quot;006368D7&quot;/&gt;&lt;wsp:rsid wsp:val=&quot;00636FA6&quot;/&gt;&lt;wsp:rsid wsp:val=&quot;006378DB&quot;/&gt;&lt;wsp:rsid wsp:val=&quot;00637A27&quot;/&gt;&lt;wsp:rsid wsp:val=&quot;00637F77&quot;/&gt;&lt;wsp:rsid wsp:val=&quot;0064039E&quot;/&gt;&lt;wsp:rsid wsp:val=&quot;0064089C&quot;/&gt;&lt;wsp:rsid wsp:val=&quot;00641472&quot;/&gt;&lt;wsp:rsid wsp:val=&quot;00641D0A&quot;/&gt;&lt;wsp:rsid wsp:val=&quot;006422D4&quot;/&gt;&lt;wsp:rsid wsp:val=&quot;00642602&quot;/&gt;&lt;wsp:rsid wsp:val=&quot;0064378B&quot;/&gt;&lt;wsp:rsid wsp:val=&quot;00643947&quot;/&gt;&lt;wsp:rsid wsp:val=&quot;00643C01&quot;/&gt;&lt;wsp:rsid wsp:val=&quot;00643EAA&quot;/&gt;&lt;wsp:rsid wsp:val=&quot;00644035&quot;/&gt;&lt;wsp:rsid wsp:val=&quot;0064423B&quot;/&gt;&lt;wsp:rsid wsp:val=&quot;006444B1&quot;/&gt;&lt;wsp:rsid wsp:val=&quot;006449BA&quot;/&gt;&lt;wsp:rsid wsp:val=&quot;00644AB2&quot;/&gt;&lt;wsp:rsid wsp:val=&quot;00644E6E&quot;/&gt;&lt;wsp:rsid wsp:val=&quot;00644F7E&quot;/&gt;&lt;wsp:rsid wsp:val=&quot;00645F29&quot;/&gt;&lt;wsp:rsid wsp:val=&quot;006467A8&quot;/&gt;&lt;wsp:rsid wsp:val=&quot;00646843&quot;/&gt;&lt;wsp:rsid wsp:val=&quot;00646C9D&quot;/&gt;&lt;wsp:rsid wsp:val=&quot;00646CB8&quot;/&gt;&lt;wsp:rsid wsp:val=&quot;00647311&quot;/&gt;&lt;wsp:rsid wsp:val=&quot;006508D0&quot;/&gt;&lt;wsp:rsid wsp:val=&quot;00650A70&quot;/&gt;&lt;wsp:rsid wsp:val=&quot;00650FE2&quot;/&gt;&lt;wsp:rsid wsp:val=&quot;00651ABD&quot;/&gt;&lt;wsp:rsid wsp:val=&quot;00651D50&quot;/&gt;&lt;wsp:rsid wsp:val=&quot;0065231E&quot;/&gt;&lt;wsp:rsid wsp:val=&quot;006526BA&quot;/&gt;&lt;wsp:rsid wsp:val=&quot;00652921&quot;/&gt;&lt;wsp:rsid wsp:val=&quot;006530E7&quot;/&gt;&lt;wsp:rsid wsp:val=&quot;00653C6D&quot;/&gt;&lt;wsp:rsid wsp:val=&quot;00653EDA&quot;/&gt;&lt;wsp:rsid wsp:val=&quot;00654610&quot;/&gt;&lt;wsp:rsid wsp:val=&quot;0065461D&quot;/&gt;&lt;wsp:rsid wsp:val=&quot;00654654&quot;/&gt;&lt;wsp:rsid wsp:val=&quot;006554C3&quot;/&gt;&lt;wsp:rsid wsp:val=&quot;00655597&quot;/&gt;&lt;wsp:rsid wsp:val=&quot;006567D5&quot;/&gt;&lt;wsp:rsid wsp:val=&quot;00657664&quot;/&gt;&lt;wsp:rsid wsp:val=&quot;0065790F&quot;/&gt;&lt;wsp:rsid wsp:val=&quot;0065792E&quot;/&gt;&lt;wsp:rsid wsp:val=&quot;00657F7E&quot;/&gt;&lt;wsp:rsid wsp:val=&quot;00657FDF&quot;/&gt;&lt;wsp:rsid wsp:val=&quot;00660457&quot;/&gt;&lt;wsp:rsid wsp:val=&quot;00660659&quot;/&gt;&lt;wsp:rsid wsp:val=&quot;006614E4&quot;/&gt;&lt;wsp:rsid wsp:val=&quot;00661581&quot;/&gt;&lt;wsp:rsid wsp:val=&quot;00661E51&quot;/&gt;&lt;wsp:rsid wsp:val=&quot;0066286E&quot;/&gt;&lt;wsp:rsid wsp:val=&quot;006628C6&quot;/&gt;&lt;wsp:rsid wsp:val=&quot;00663290&quot;/&gt;&lt;wsp:rsid wsp:val=&quot;0066331B&quot;/&gt;&lt;wsp:rsid wsp:val=&quot;00665274&quot;/&gt;&lt;wsp:rsid wsp:val=&quot;006660DD&quot;/&gt;&lt;wsp:rsid wsp:val=&quot;006663EA&quot;/&gt;&lt;wsp:rsid wsp:val=&quot;00666877&quot;/&gt;&lt;wsp:rsid wsp:val=&quot;00666A99&quot;/&gt;&lt;wsp:rsid wsp:val=&quot;00666C06&quot;/&gt;&lt;wsp:rsid wsp:val=&quot;00666DF8&quot;/&gt;&lt;wsp:rsid wsp:val=&quot;00667B7A&quot;/&gt;&lt;wsp:rsid wsp:val=&quot;00667F2C&quot;/&gt;&lt;wsp:rsid wsp:val=&quot;0067013A&quot;/&gt;&lt;wsp:rsid wsp:val=&quot;00670211&quot;/&gt;&lt;wsp:rsid wsp:val=&quot;00670843&quot;/&gt;&lt;wsp:rsid wsp:val=&quot;006708D1&quot;/&gt;&lt;wsp:rsid wsp:val=&quot;00670A55&quot;/&gt;&lt;wsp:rsid wsp:val=&quot;00670C34&quot;/&gt;&lt;wsp:rsid wsp:val=&quot;00670E24&quot;/&gt;&lt;wsp:rsid wsp:val=&quot;00670EC1&quot;/&gt;&lt;wsp:rsid wsp:val=&quot;00670F38&quot;/&gt;&lt;wsp:rsid wsp:val=&quot;00670F76&quot;/&gt;&lt;wsp:rsid wsp:val=&quot;00672003&quot;/&gt;&lt;wsp:rsid wsp:val=&quot;00672324&quot;/&gt;&lt;wsp:rsid wsp:val=&quot;00672A35&quot;/&gt;&lt;wsp:rsid wsp:val=&quot;00672C29&quot;/&gt;&lt;wsp:rsid wsp:val=&quot;006732F4&quot;/&gt;&lt;wsp:rsid wsp:val=&quot;006736A6&quot;/&gt;&lt;wsp:rsid wsp:val=&quot;00673703&quot;/&gt;&lt;wsp:rsid wsp:val=&quot;0067383A&quot;/&gt;&lt;wsp:rsid wsp:val=&quot;00674338&quot;/&gt;&lt;wsp:rsid wsp:val=&quot;00674729&quot;/&gt;&lt;wsp:rsid wsp:val=&quot;00674BB1&quot;/&gt;&lt;wsp:rsid wsp:val=&quot;00675071&quot;/&gt;&lt;wsp:rsid wsp:val=&quot;00675245&quot;/&gt;&lt;wsp:rsid wsp:val=&quot;0067527C&quot;/&gt;&lt;wsp:rsid wsp:val=&quot;00675452&quot;/&gt;&lt;wsp:rsid wsp:val=&quot;00675882&quot;/&gt;&lt;wsp:rsid wsp:val=&quot;006759F1&quot;/&gt;&lt;wsp:rsid wsp:val=&quot;00675BB7&quot;/&gt;&lt;wsp:rsid wsp:val=&quot;00675DA2&quot;/&gt;&lt;wsp:rsid wsp:val=&quot;0067660A&quot;/&gt;&lt;wsp:rsid wsp:val=&quot;00677155&quot;/&gt;&lt;wsp:rsid wsp:val=&quot;00677C88&quot;/&gt;&lt;wsp:rsid wsp:val=&quot;006809E4&quot;/&gt;&lt;wsp:rsid wsp:val=&quot;00680AE0&quot;/&gt;&lt;wsp:rsid wsp:val=&quot;0068117C&quot;/&gt;&lt;wsp:rsid wsp:val=&quot;006818CE&quot;/&gt;&lt;wsp:rsid wsp:val=&quot;00681AF5&quot;/&gt;&lt;wsp:rsid wsp:val=&quot;00681B65&quot;/&gt;&lt;wsp:rsid wsp:val=&quot;00681C0E&quot;/&gt;&lt;wsp:rsid wsp:val=&quot;006824D8&quot;/&gt;&lt;wsp:rsid wsp:val=&quot;0068262C&quot;/&gt;&lt;wsp:rsid wsp:val=&quot;00682644&quot;/&gt;&lt;wsp:rsid wsp:val=&quot;006826B7&quot;/&gt;&lt;wsp:rsid wsp:val=&quot;0068276B&quot;/&gt;&lt;wsp:rsid wsp:val=&quot;006830D9&quot;/&gt;&lt;wsp:rsid wsp:val=&quot;006837EB&quot;/&gt;&lt;wsp:rsid wsp:val=&quot;00683B9E&quot;/&gt;&lt;wsp:rsid wsp:val=&quot;00683D4D&quot;/&gt;&lt;wsp:rsid wsp:val=&quot;006849A9&quot;/&gt;&lt;wsp:rsid wsp:val=&quot;006852EF&quot;/&gt;&lt;wsp:rsid wsp:val=&quot;006854F2&quot;/&gt;&lt;wsp:rsid wsp:val=&quot;00685BB5&quot;/&gt;&lt;wsp:rsid wsp:val=&quot;00686B48&quot;/&gt;&lt;wsp:rsid wsp:val=&quot;006870C4&quot;/&gt;&lt;wsp:rsid wsp:val=&quot;006870E0&quot;/&gt;&lt;wsp:rsid wsp:val=&quot;00687FEE&quot;/&gt;&lt;wsp:rsid wsp:val=&quot;006900D3&quot;/&gt;&lt;wsp:rsid wsp:val=&quot;00690108&quot;/&gt;&lt;wsp:rsid wsp:val=&quot;00690311&quot;/&gt;&lt;wsp:rsid wsp:val=&quot;00691082&quot;/&gt;&lt;wsp:rsid wsp:val=&quot;00691FF6&quot;/&gt;&lt;wsp:rsid wsp:val=&quot;00692DDA&quot;/&gt;&lt;wsp:rsid wsp:val=&quot;0069315D&quot;/&gt;&lt;wsp:rsid wsp:val=&quot;0069467D&quot;/&gt;&lt;wsp:rsid wsp:val=&quot;006949E8&quot;/&gt;&lt;wsp:rsid wsp:val=&quot;00694E12&quot;/&gt;&lt;wsp:rsid wsp:val=&quot;00694E3A&quot;/&gt;&lt;wsp:rsid wsp:val=&quot;00695173&quot;/&gt;&lt;wsp:rsid wsp:val=&quot;00695603&quot;/&gt;&lt;wsp:rsid wsp:val=&quot;00695608&quot;/&gt;&lt;wsp:rsid wsp:val=&quot;00695634&quot;/&gt;&lt;wsp:rsid wsp:val=&quot;00695F12&quot;/&gt;&lt;wsp:rsid wsp:val=&quot;00696643&quot;/&gt;&lt;wsp:rsid wsp:val=&quot;00696BF4&quot;/&gt;&lt;wsp:rsid wsp:val=&quot;00696EF1&quot;/&gt;&lt;wsp:rsid wsp:val=&quot;006974E7&quot;/&gt;&lt;wsp:rsid wsp:val=&quot;00697596&quot;/&gt;&lt;wsp:rsid wsp:val=&quot;00697900&quot;/&gt;&lt;wsp:rsid wsp:val=&quot;00697959&quot;/&gt;&lt;wsp:rsid wsp:val=&quot;00697E29&quot;/&gt;&lt;wsp:rsid wsp:val=&quot;006A09B2&quot;/&gt;&lt;wsp:rsid wsp:val=&quot;006A0E5A&quot;/&gt;&lt;wsp:rsid wsp:val=&quot;006A1242&quot;/&gt;&lt;wsp:rsid wsp:val=&quot;006A16CD&quot;/&gt;&lt;wsp:rsid wsp:val=&quot;006A1773&quot;/&gt;&lt;wsp:rsid wsp:val=&quot;006A23DA&quot;/&gt;&lt;wsp:rsid wsp:val=&quot;006A2808&quot;/&gt;&lt;wsp:rsid wsp:val=&quot;006A295D&quot;/&gt;&lt;wsp:rsid wsp:val=&quot;006A3C89&quot;/&gt;&lt;wsp:rsid wsp:val=&quot;006A3D72&quot;/&gt;&lt;wsp:rsid wsp:val=&quot;006A4248&quot;/&gt;&lt;wsp:rsid wsp:val=&quot;006A45A3&quot;/&gt;&lt;wsp:rsid wsp:val=&quot;006A49C0&quot;/&gt;&lt;wsp:rsid wsp:val=&quot;006A4B67&quot;/&gt;&lt;wsp:rsid wsp:val=&quot;006A5BEC&quot;/&gt;&lt;wsp:rsid wsp:val=&quot;006A619C&quot;/&gt;&lt;wsp:rsid wsp:val=&quot;006A6337&quot;/&gt;&lt;wsp:rsid wsp:val=&quot;006A6748&quot;/&gt;&lt;wsp:rsid wsp:val=&quot;006A7F98&quot;/&gt;&lt;wsp:rsid wsp:val=&quot;006B05AA&quot;/&gt;&lt;wsp:rsid wsp:val=&quot;006B0CFD&quot;/&gt;&lt;wsp:rsid wsp:val=&quot;006B0F9A&quot;/&gt;&lt;wsp:rsid wsp:val=&quot;006B108B&quot;/&gt;&lt;wsp:rsid wsp:val=&quot;006B1323&quot;/&gt;&lt;wsp:rsid wsp:val=&quot;006B156C&quot;/&gt;&lt;wsp:rsid wsp:val=&quot;006B1856&quot;/&gt;&lt;wsp:rsid wsp:val=&quot;006B1B26&quot;/&gt;&lt;wsp:rsid wsp:val=&quot;006B28AB&quot;/&gt;&lt;wsp:rsid wsp:val=&quot;006B2BA8&quot;/&gt;&lt;wsp:rsid wsp:val=&quot;006B2CC8&quot;/&gt;&lt;wsp:rsid wsp:val=&quot;006B33E4&quot;/&gt;&lt;wsp:rsid wsp:val=&quot;006B3D8B&quot;/&gt;&lt;wsp:rsid wsp:val=&quot;006B471F&quot;/&gt;&lt;wsp:rsid wsp:val=&quot;006B4908&quot;/&gt;&lt;wsp:rsid wsp:val=&quot;006B4D04&quot;/&gt;&lt;wsp:rsid wsp:val=&quot;006B58E7&quot;/&gt;&lt;wsp:rsid wsp:val=&quot;006B5967&quot;/&gt;&lt;wsp:rsid wsp:val=&quot;006B5A0A&quot;/&gt;&lt;wsp:rsid wsp:val=&quot;006B6089&quot;/&gt;&lt;wsp:rsid wsp:val=&quot;006B656D&quot;/&gt;&lt;wsp:rsid wsp:val=&quot;006B7279&quot;/&gt;&lt;wsp:rsid wsp:val=&quot;006B7A25&quot;/&gt;&lt;wsp:rsid wsp:val=&quot;006B7A97&quot;/&gt;&lt;wsp:rsid wsp:val=&quot;006B7C7A&quot;/&gt;&lt;wsp:rsid wsp:val=&quot;006C0120&quot;/&gt;&lt;wsp:rsid wsp:val=&quot;006C09A5&quot;/&gt;&lt;wsp:rsid wsp:val=&quot;006C1278&quot;/&gt;&lt;wsp:rsid wsp:val=&quot;006C1543&quot;/&gt;&lt;wsp:rsid wsp:val=&quot;006C195C&quot;/&gt;&lt;wsp:rsid wsp:val=&quot;006C1D59&quot;/&gt;&lt;wsp:rsid wsp:val=&quot;006C21FE&quot;/&gt;&lt;wsp:rsid wsp:val=&quot;006C2279&quot;/&gt;&lt;wsp:rsid wsp:val=&quot;006C248E&quot;/&gt;&lt;wsp:rsid wsp:val=&quot;006C28C1&quot;/&gt;&lt;wsp:rsid wsp:val=&quot;006C47D8&quot;/&gt;&lt;wsp:rsid wsp:val=&quot;006C49C5&quot;/&gt;&lt;wsp:rsid wsp:val=&quot;006C4BAD&quot;/&gt;&lt;wsp:rsid wsp:val=&quot;006C5B18&quot;/&gt;&lt;wsp:rsid wsp:val=&quot;006C5B30&quot;/&gt;&lt;wsp:rsid wsp:val=&quot;006C5D58&quot;/&gt;&lt;wsp:rsid wsp:val=&quot;006C610D&quot;/&gt;&lt;wsp:rsid wsp:val=&quot;006C6385&quot;/&gt;&lt;wsp:rsid wsp:val=&quot;006C72ED&quot;/&gt;&lt;wsp:rsid wsp:val=&quot;006C789A&quot;/&gt;&lt;wsp:rsid wsp:val=&quot;006C7F35&quot;/&gt;&lt;wsp:rsid wsp:val=&quot;006D00AE&quot;/&gt;&lt;wsp:rsid wsp:val=&quot;006D1335&quot;/&gt;&lt;wsp:rsid wsp:val=&quot;006D1765&quot;/&gt;&lt;wsp:rsid wsp:val=&quot;006D22EB&quot;/&gt;&lt;wsp:rsid wsp:val=&quot;006D2BFF&quot;/&gt;&lt;wsp:rsid wsp:val=&quot;006D36FF&quot;/&gt;&lt;wsp:rsid wsp:val=&quot;006D3FDF&quot;/&gt;&lt;wsp:rsid wsp:val=&quot;006D44BA&quot;/&gt;&lt;wsp:rsid wsp:val=&quot;006D4505&quot;/&gt;&lt;wsp:rsid wsp:val=&quot;006D4AE8&quot;/&gt;&lt;wsp:rsid wsp:val=&quot;006D4C32&quot;/&gt;&lt;wsp:rsid wsp:val=&quot;006D5CE4&quot;/&gt;&lt;wsp:rsid wsp:val=&quot;006D5D80&quot;/&gt;&lt;wsp:rsid wsp:val=&quot;006D6752&quot;/&gt;&lt;wsp:rsid wsp:val=&quot;006D679E&quot;/&gt;&lt;wsp:rsid wsp:val=&quot;006D6900&quot;/&gt;&lt;wsp:rsid wsp:val=&quot;006D70D2&quot;/&gt;&lt;wsp:rsid wsp:val=&quot;006D7322&quot;/&gt;&lt;wsp:rsid wsp:val=&quot;006D7B8C&quot;/&gt;&lt;wsp:rsid wsp:val=&quot;006D7F63&quot;/&gt;&lt;wsp:rsid wsp:val=&quot;006E02F5&quot;/&gt;&lt;wsp:rsid wsp:val=&quot;006E0BBF&quot;/&gt;&lt;wsp:rsid wsp:val=&quot;006E1D7C&quot;/&gt;&lt;wsp:rsid wsp:val=&quot;006E1E04&quot;/&gt;&lt;wsp:rsid wsp:val=&quot;006E2066&quot;/&gt;&lt;wsp:rsid wsp:val=&quot;006E2079&quot;/&gt;&lt;wsp:rsid wsp:val=&quot;006E2D22&quot;/&gt;&lt;wsp:rsid wsp:val=&quot;006E339E&quot;/&gt;&lt;wsp:rsid wsp:val=&quot;006E3AEB&quot;/&gt;&lt;wsp:rsid wsp:val=&quot;006E3BF2&quot;/&gt;&lt;wsp:rsid wsp:val=&quot;006E3D5C&quot;/&gt;&lt;wsp:rsid wsp:val=&quot;006E3E7A&quot;/&gt;&lt;wsp:rsid wsp:val=&quot;006E46D3&quot;/&gt;&lt;wsp:rsid wsp:val=&quot;006E4B2B&quot;/&gt;&lt;wsp:rsid wsp:val=&quot;006E4EEA&quot;/&gt;&lt;wsp:rsid wsp:val=&quot;006E4F18&quot;/&gt;&lt;wsp:rsid wsp:val=&quot;006E4F9B&quot;/&gt;&lt;wsp:rsid wsp:val=&quot;006E4FDE&quot;/&gt;&lt;wsp:rsid wsp:val=&quot;006E537C&quot;/&gt;&lt;wsp:rsid wsp:val=&quot;006E6DCD&quot;/&gt;&lt;wsp:rsid wsp:val=&quot;006F01B7&quot;/&gt;&lt;wsp:rsid wsp:val=&quot;006F0449&quot;/&gt;&lt;wsp:rsid wsp:val=&quot;006F0BFB&quot;/&gt;&lt;wsp:rsid wsp:val=&quot;006F0E74&quot;/&gt;&lt;wsp:rsid wsp:val=&quot;006F1097&quot;/&gt;&lt;wsp:rsid wsp:val=&quot;006F1507&quot;/&gt;&lt;wsp:rsid wsp:val=&quot;006F1686&quot;/&gt;&lt;wsp:rsid wsp:val=&quot;006F19DA&quot;/&gt;&lt;wsp:rsid wsp:val=&quot;006F1C44&quot;/&gt;&lt;wsp:rsid wsp:val=&quot;006F1EB8&quot;/&gt;&lt;wsp:rsid wsp:val=&quot;006F2662&quot;/&gt;&lt;wsp:rsid wsp:val=&quot;006F2967&quot;/&gt;&lt;wsp:rsid wsp:val=&quot;006F2DBD&quot;/&gt;&lt;wsp:rsid wsp:val=&quot;006F348C&quot;/&gt;&lt;wsp:rsid wsp:val=&quot;006F35D5&quot;/&gt;&lt;wsp:rsid wsp:val=&quot;006F36B3&quot;/&gt;&lt;wsp:rsid wsp:val=&quot;006F39BF&quot;/&gt;&lt;wsp:rsid wsp:val=&quot;006F3D87&quot;/&gt;&lt;wsp:rsid wsp:val=&quot;006F3FCE&quot;/&gt;&lt;wsp:rsid wsp:val=&quot;006F4246&quot;/&gt;&lt;wsp:rsid wsp:val=&quot;006F4379&quot;/&gt;&lt;wsp:rsid wsp:val=&quot;006F65D9&quot;/&gt;&lt;wsp:rsid wsp:val=&quot;006F69EA&quot;/&gt;&lt;wsp:rsid wsp:val=&quot;006F7C86&quot;/&gt;&lt;wsp:rsid wsp:val=&quot;007000E8&quot;/&gt;&lt;wsp:rsid wsp:val=&quot;00700D31&quot;/&gt;&lt;wsp:rsid wsp:val=&quot;0070110D&quot;/&gt;&lt;wsp:rsid wsp:val=&quot;00701304&quot;/&gt;&lt;wsp:rsid wsp:val=&quot;007014AF&quot;/&gt;&lt;wsp:rsid wsp:val=&quot;0070154C&quot;/&gt;&lt;wsp:rsid wsp:val=&quot;007015FD&quot;/&gt;&lt;wsp:rsid wsp:val=&quot;00701A42&quot;/&gt;&lt;wsp:rsid wsp:val=&quot;00701D31&quot;/&gt;&lt;wsp:rsid wsp:val=&quot;00701EAA&quot;/&gt;&lt;wsp:rsid wsp:val=&quot;00702784&quot;/&gt;&lt;wsp:rsid wsp:val=&quot;007029F4&quot;/&gt;&lt;wsp:rsid wsp:val=&quot;00702CF8&quot;/&gt;&lt;wsp:rsid wsp:val=&quot;0070303B&quot;/&gt;&lt;wsp:rsid wsp:val=&quot;007035E5&quot;/&gt;&lt;wsp:rsid wsp:val=&quot;007039E8&quot;/&gt;&lt;wsp:rsid wsp:val=&quot;0070440A&quot;/&gt;&lt;wsp:rsid wsp:val=&quot;00704A11&quot;/&gt;&lt;wsp:rsid wsp:val=&quot;0070500C&quot;/&gt;&lt;wsp:rsid wsp:val=&quot;00705434&quot;/&gt;&lt;wsp:rsid wsp:val=&quot;00705A07&quot;/&gt;&lt;wsp:rsid wsp:val=&quot;007060C3&quot;/&gt;&lt;wsp:rsid wsp:val=&quot;007062B4&quot;/&gt;&lt;wsp:rsid wsp:val=&quot;007066E7&quot;/&gt;&lt;wsp:rsid wsp:val=&quot;007074BE&quot;/&gt;&lt;wsp:rsid wsp:val=&quot;00707932&quot;/&gt;&lt;wsp:rsid wsp:val=&quot;0071009E&quot;/&gt;&lt;wsp:rsid wsp:val=&quot;0071018B&quot;/&gt;&lt;wsp:rsid wsp:val=&quot;00710293&quot;/&gt;&lt;wsp:rsid wsp:val=&quot;0071038B&quot;/&gt;&lt;wsp:rsid wsp:val=&quot;00710467&quot;/&gt;&lt;wsp:rsid wsp:val=&quot;00710AFB&quot;/&gt;&lt;wsp:rsid wsp:val=&quot;00711425&quot;/&gt;&lt;wsp:rsid wsp:val=&quot;00711573&quot;/&gt;&lt;wsp:rsid wsp:val=&quot;007115D3&quot;/&gt;&lt;wsp:rsid wsp:val=&quot;007115DB&quot;/&gt;&lt;wsp:rsid wsp:val=&quot;00711677&quot;/&gt;&lt;wsp:rsid wsp:val=&quot;00711789&quot;/&gt;&lt;wsp:rsid wsp:val=&quot;00711834&quot;/&gt;&lt;wsp:rsid wsp:val=&quot;00711D60&quot;/&gt;&lt;wsp:rsid wsp:val=&quot;007126E1&quot;/&gt;&lt;wsp:rsid wsp:val=&quot;0071271C&quot;/&gt;&lt;wsp:rsid wsp:val=&quot;00714D48&quot;/&gt;&lt;wsp:rsid wsp:val=&quot;00714E1D&quot;/&gt;&lt;wsp:rsid wsp:val=&quot;0071522C&quot;/&gt;&lt;wsp:rsid wsp:val=&quot;007158A0&quot;/&gt;&lt;wsp:rsid wsp:val=&quot;0071618C&quot;/&gt;&lt;wsp:rsid wsp:val=&quot;007168AF&quot;/&gt;&lt;wsp:rsid wsp:val=&quot;00717C45&quot;/&gt;&lt;wsp:rsid wsp:val=&quot;00717D9E&quot;/&gt;&lt;wsp:rsid wsp:val=&quot;00720730&quot;/&gt;&lt;wsp:rsid wsp:val=&quot;00720E21&quot;/&gt;&lt;wsp:rsid wsp:val=&quot;007212C2&quot;/&gt;&lt;wsp:rsid wsp:val=&quot;00721BE5&quot;/&gt;&lt;wsp:rsid wsp:val=&quot;00721C3A&quot;/&gt;&lt;wsp:rsid wsp:val=&quot;00722536&quot;/&gt;&lt;wsp:rsid wsp:val=&quot;0072268E&quot;/&gt;&lt;wsp:rsid wsp:val=&quot;00722983&quot;/&gt;&lt;wsp:rsid wsp:val=&quot;00722FA2&quot;/&gt;&lt;wsp:rsid wsp:val=&quot;00722FAA&quot;/&gt;&lt;wsp:rsid wsp:val=&quot;007236B7&quot;/&gt;&lt;wsp:rsid wsp:val=&quot;00723836&quot;/&gt;&lt;wsp:rsid wsp:val=&quot;00723C44&quot;/&gt;&lt;wsp:rsid wsp:val=&quot;00724209&quot;/&gt;&lt;wsp:rsid wsp:val=&quot;00724827&quot;/&gt;&lt;wsp:rsid wsp:val=&quot;00724A04&quot;/&gt;&lt;wsp:rsid wsp:val=&quot;00724DB3&quot;/&gt;&lt;wsp:rsid wsp:val=&quot;007254F1&quot;/&gt;&lt;wsp:rsid wsp:val=&quot;00725531&quot;/&gt;&lt;wsp:rsid wsp:val=&quot;007260A6&quot;/&gt;&lt;wsp:rsid wsp:val=&quot;00726CD7&quot;/&gt;&lt;wsp:rsid wsp:val=&quot;00726E64&quot;/&gt;&lt;wsp:rsid wsp:val=&quot;007272E4&quot;/&gt;&lt;wsp:rsid wsp:val=&quot;00727D3C&quot;/&gt;&lt;wsp:rsid wsp:val=&quot;00727E6F&quot;/&gt;&lt;wsp:rsid wsp:val=&quot;00727E8A&quot;/&gt;&lt;wsp:rsid wsp:val=&quot;00727F63&quot;/&gt;&lt;wsp:rsid wsp:val=&quot;007306B3&quot;/&gt;&lt;wsp:rsid wsp:val=&quot;00730853&quot;/&gt;&lt;wsp:rsid wsp:val=&quot;00731163&quot;/&gt;&lt;wsp:rsid wsp:val=&quot;00731339&quot;/&gt;&lt;wsp:rsid wsp:val=&quot;007321A2&quot;/&gt;&lt;wsp:rsid wsp:val=&quot;00732AC9&quot;/&gt;&lt;wsp:rsid wsp:val=&quot;007333BF&quot;/&gt;&lt;wsp:rsid wsp:val=&quot;00733CDA&quot;/&gt;&lt;wsp:rsid wsp:val=&quot;00733E41&quot;/&gt;&lt;wsp:rsid wsp:val=&quot;00733E43&quot;/&gt;&lt;wsp:rsid wsp:val=&quot;00734147&quot;/&gt;&lt;wsp:rsid wsp:val=&quot;007350D5&quot;/&gt;&lt;wsp:rsid wsp:val=&quot;00735278&quot;/&gt;&lt;wsp:rsid wsp:val=&quot;00735B8B&quot;/&gt;&lt;wsp:rsid wsp:val=&quot;00735D56&quot;/&gt;&lt;wsp:rsid wsp:val=&quot;00736405&quot;/&gt;&lt;wsp:rsid wsp:val=&quot;0073651C&quot;/&gt;&lt;wsp:rsid wsp:val=&quot;00736BD2&quot;/&gt;&lt;wsp:rsid wsp:val=&quot;0073726C&quot;/&gt;&lt;wsp:rsid wsp:val=&quot;007374B3&quot;/&gt;&lt;wsp:rsid wsp:val=&quot;00737731&quot;/&gt;&lt;wsp:rsid wsp:val=&quot;00737B06&quot;/&gt;&lt;wsp:rsid wsp:val=&quot;007404F6&quot;/&gt;&lt;wsp:rsid wsp:val=&quot;00740C0A&quot;/&gt;&lt;wsp:rsid wsp:val=&quot;00741001&quot;/&gt;&lt;wsp:rsid wsp:val=&quot;00741190&quot;/&gt;&lt;wsp:rsid wsp:val=&quot;007412D1&quot;/&gt;&lt;wsp:rsid wsp:val=&quot;00741CB4&quot;/&gt;&lt;wsp:rsid wsp:val=&quot;0074203D&quot;/&gt;&lt;wsp:rsid wsp:val=&quot;007425FC&quot;/&gt;&lt;wsp:rsid wsp:val=&quot;00742C9F&quot;/&gt;&lt;wsp:rsid wsp:val=&quot;00743089&quot;/&gt;&lt;wsp:rsid wsp:val=&quot;007431D8&quot;/&gt;&lt;wsp:rsid wsp:val=&quot;007439A1&quot;/&gt;&lt;wsp:rsid wsp:val=&quot;00744389&quot;/&gt;&lt;wsp:rsid wsp:val=&quot;00744AF1&quot;/&gt;&lt;wsp:rsid wsp:val=&quot;00744AF4&quot;/&gt;&lt;wsp:rsid wsp:val=&quot;00744B1E&quot;/&gt;&lt;wsp:rsid wsp:val=&quot;00744B70&quot;/&gt;&lt;wsp:rsid wsp:val=&quot;00744BB1&quot;/&gt;&lt;wsp:rsid wsp:val=&quot;007454D2&quot;/&gt;&lt;wsp:rsid wsp:val=&quot;007459EF&quot;/&gt;&lt;wsp:rsid wsp:val=&quot;00745E21&quot;/&gt;&lt;wsp:rsid wsp:val=&quot;00746372&quot;/&gt;&lt;wsp:rsid wsp:val=&quot;0074698C&quot;/&gt;&lt;wsp:rsid wsp:val=&quot;00747521&quot;/&gt;&lt;wsp:rsid wsp:val=&quot;00747552&quot;/&gt;&lt;wsp:rsid wsp:val=&quot;007479C7&quot;/&gt;&lt;wsp:rsid wsp:val=&quot;00747B8D&quot;/&gt;&lt;wsp:rsid wsp:val=&quot;00747BCE&quot;/&gt;&lt;wsp:rsid wsp:val=&quot;00747C79&quot;/&gt;&lt;wsp:rsid wsp:val=&quot;007501EE&quot;/&gt;&lt;wsp:rsid wsp:val=&quot;00750C63&quot;/&gt;&lt;wsp:rsid wsp:val=&quot;00751196&quot;/&gt;&lt;wsp:rsid wsp:val=&quot;00751512&quot;/&gt;&lt;wsp:rsid wsp:val=&quot;0075153A&quot;/&gt;&lt;wsp:rsid wsp:val=&quot;00751A29&quot;/&gt;&lt;wsp:rsid wsp:val=&quot;0075215A&quot;/&gt;&lt;wsp:rsid wsp:val=&quot;00752AB4&quot;/&gt;&lt;wsp:rsid wsp:val=&quot;00752E6E&quot;/&gt;&lt;wsp:rsid wsp:val=&quot;00753136&quot;/&gt;&lt;wsp:rsid wsp:val=&quot;007538EE&quot;/&gt;&lt;wsp:rsid wsp:val=&quot;00753F50&quot;/&gt;&lt;wsp:rsid wsp:val=&quot;00754A55&quot;/&gt;&lt;wsp:rsid wsp:val=&quot;00754D47&quot;/&gt;&lt;wsp:rsid wsp:val=&quot;00755E69&quot;/&gt;&lt;wsp:rsid wsp:val=&quot;0075629C&quot;/&gt;&lt;wsp:rsid wsp:val=&quot;007562D1&quot;/&gt;&lt;wsp:rsid wsp:val=&quot;0075646B&quot;/&gt;&lt;wsp:rsid wsp:val=&quot;00756575&quot;/&gt;&lt;wsp:rsid wsp:val=&quot;00756928&quot;/&gt;&lt;wsp:rsid wsp:val=&quot;00756F1D&quot;/&gt;&lt;wsp:rsid wsp:val=&quot;00757402&quot;/&gt;&lt;wsp:rsid wsp:val=&quot;00757595&quot;/&gt;&lt;wsp:rsid wsp:val=&quot;007576EB&quot;/&gt;&lt;wsp:rsid wsp:val=&quot;00757756&quot;/&gt;&lt;wsp:rsid wsp:val=&quot;00757E4A&quot;/&gt;&lt;wsp:rsid wsp:val=&quot;00757EBF&quot;/&gt;&lt;wsp:rsid wsp:val=&quot;00757FA0&quot;/&gt;&lt;wsp:rsid wsp:val=&quot;00760032&quot;/&gt;&lt;wsp:rsid wsp:val=&quot;00760337&quot;/&gt;&lt;wsp:rsid wsp:val=&quot;00760BE7&quot;/&gt;&lt;wsp:rsid wsp:val=&quot;00761238&quot;/&gt;&lt;wsp:rsid wsp:val=&quot;00761DBE&quot;/&gt;&lt;wsp:rsid wsp:val=&quot;00761F41&quot;/&gt;&lt;wsp:rsid wsp:val=&quot;00762958&quot;/&gt;&lt;wsp:rsid wsp:val=&quot;00762986&quot;/&gt;&lt;wsp:rsid wsp:val=&quot;00763189&quot;/&gt;&lt;wsp:rsid wsp:val=&quot;007632E0&quot;/&gt;&lt;wsp:rsid wsp:val=&quot;00763450&quot;/&gt;&lt;wsp:rsid wsp:val=&quot;00764092&quot;/&gt;&lt;wsp:rsid wsp:val=&quot;007646E1&quot;/&gt;&lt;wsp:rsid wsp:val=&quot;00764B88&quot;/&gt;&lt;wsp:rsid wsp:val=&quot;0076509D&quot;/&gt;&lt;wsp:rsid wsp:val=&quot;0076583E&quot;/&gt;&lt;wsp:rsid wsp:val=&quot;00765F70&quot;/&gt;&lt;wsp:rsid wsp:val=&quot;00766162&quot;/&gt;&lt;wsp:rsid wsp:val=&quot;007668DE&quot;/&gt;&lt;wsp:rsid wsp:val=&quot;00766A9C&quot;/&gt;&lt;wsp:rsid wsp:val=&quot;00766C98&quot;/&gt;&lt;wsp:rsid wsp:val=&quot;007670B6&quot;/&gt;&lt;wsp:rsid wsp:val=&quot;00767299&quot;/&gt;&lt;wsp:rsid wsp:val=&quot;0077009A&quot;/&gt;&lt;wsp:rsid wsp:val=&quot;00770722&quot;/&gt;&lt;wsp:rsid wsp:val=&quot;00770BDF&quot;/&gt;&lt;wsp:rsid wsp:val=&quot;00770E9A&quot;/&gt;&lt;wsp:rsid wsp:val=&quot;00770EED&quot;/&gt;&lt;wsp:rsid wsp:val=&quot;0077298E&quot;/&gt;&lt;wsp:rsid wsp:val=&quot;0077338D&quot;/&gt;&lt;wsp:rsid wsp:val=&quot;00773EB5&quot;/&gt;&lt;wsp:rsid wsp:val=&quot;00773FB9&quot;/&gt;&lt;wsp:rsid wsp:val=&quot;00774435&quot;/&gt;&lt;wsp:rsid wsp:val=&quot;0077492C&quot;/&gt;&lt;wsp:rsid wsp:val=&quot;007749BC&quot;/&gt;&lt;wsp:rsid wsp:val=&quot;00774D81&quot;/&gt;&lt;wsp:rsid wsp:val=&quot;0077504E&quot;/&gt;&lt;wsp:rsid wsp:val=&quot;0077535A&quot;/&gt;&lt;wsp:rsid wsp:val=&quot;0077660A&quot;/&gt;&lt;wsp:rsid wsp:val=&quot;00776E64&quot;/&gt;&lt;wsp:rsid wsp:val=&quot;007779C4&quot;/&gt;&lt;wsp:rsid wsp:val=&quot;00777D36&quot;/&gt;&lt;wsp:rsid wsp:val=&quot;00781333&quot;/&gt;&lt;wsp:rsid wsp:val=&quot;007813EC&quot;/&gt;&lt;wsp:rsid wsp:val=&quot;00781673&quot;/&gt;&lt;wsp:rsid wsp:val=&quot;00781FFD&quot;/&gt;&lt;wsp:rsid wsp:val=&quot;007820F2&quot;/&gt;&lt;wsp:rsid wsp:val=&quot;00782440&quot;/&gt;&lt;wsp:rsid wsp:val=&quot;007824BA&quot;/&gt;&lt;wsp:rsid wsp:val=&quot;007828E3&quot;/&gt;&lt;wsp:rsid wsp:val=&quot;00783117&quot;/&gt;&lt;wsp:rsid wsp:val=&quot;0078430E&quot;/&gt;&lt;wsp:rsid wsp:val=&quot;00784A38&quot;/&gt;&lt;wsp:rsid wsp:val=&quot;00784D7C&quot;/&gt;&lt;wsp:rsid wsp:val=&quot;00784F1E&quot;/&gt;&lt;wsp:rsid wsp:val=&quot;0078579D&quot;/&gt;&lt;wsp:rsid wsp:val=&quot;00786671&quot;/&gt;&lt;wsp:rsid wsp:val=&quot;00786B95&quot;/&gt;&lt;wsp:rsid wsp:val=&quot;00786DB7&quot;/&gt;&lt;wsp:rsid wsp:val=&quot;0078707A&quot;/&gt;&lt;wsp:rsid wsp:val=&quot;00787855&quot;/&gt;&lt;wsp:rsid wsp:val=&quot;0079023B&quot;/&gt;&lt;wsp:rsid wsp:val=&quot;0079039F&quot;/&gt;&lt;wsp:rsid wsp:val=&quot;00790B42&quot;/&gt;&lt;wsp:rsid wsp:val=&quot;00790C37&quot;/&gt;&lt;wsp:rsid wsp:val=&quot;0079168A&quot;/&gt;&lt;wsp:rsid wsp:val=&quot;007926A4&quot;/&gt;&lt;wsp:rsid wsp:val=&quot;00792A85&quot;/&gt;&lt;wsp:rsid wsp:val=&quot;00792E0C&quot;/&gt;&lt;wsp:rsid wsp:val=&quot;00793391&quot;/&gt;&lt;wsp:rsid wsp:val=&quot;00793530&quot;/&gt;&lt;wsp:rsid wsp:val=&quot;00793793&quot;/&gt;&lt;wsp:rsid wsp:val=&quot;00793F90&quot;/&gt;&lt;wsp:rsid wsp:val=&quot;00794011&quot;/&gt;&lt;wsp:rsid wsp:val=&quot;0079420C&quot;/&gt;&lt;wsp:rsid wsp:val=&quot;00794F3E&quot;/&gt;&lt;wsp:rsid wsp:val=&quot;007955C4&quot;/&gt;&lt;wsp:rsid wsp:val=&quot;00795A08&quot;/&gt;&lt;wsp:rsid wsp:val=&quot;00795A81&quot;/&gt;&lt;wsp:rsid wsp:val=&quot;007960C1&quot;/&gt;&lt;wsp:rsid wsp:val=&quot;007964B2&quot;/&gt;&lt;wsp:rsid wsp:val=&quot;00796746&quot;/&gt;&lt;wsp:rsid wsp:val=&quot;007968B0&quot;/&gt;&lt;wsp:rsid wsp:val=&quot;00796FB8&quot;/&gt;&lt;wsp:rsid wsp:val=&quot;007973A5&quot;/&gt;&lt;wsp:rsid wsp:val=&quot;00797799&quot;/&gt;&lt;wsp:rsid wsp:val=&quot;007977A7&quot;/&gt;&lt;wsp:rsid wsp:val=&quot;00797805&quot;/&gt;&lt;wsp:rsid wsp:val=&quot;0079789B&quot;/&gt;&lt;wsp:rsid wsp:val=&quot;00797AB5&quot;/&gt;&lt;wsp:rsid wsp:val=&quot;007A02DA&quot;/&gt;&lt;wsp:rsid wsp:val=&quot;007A0ACA&quot;/&gt;&lt;wsp:rsid wsp:val=&quot;007A0B67&quot;/&gt;&lt;wsp:rsid wsp:val=&quot;007A0BE9&quot;/&gt;&lt;wsp:rsid wsp:val=&quot;007A10B7&quot;/&gt;&lt;wsp:rsid wsp:val=&quot;007A1332&quot;/&gt;&lt;wsp:rsid wsp:val=&quot;007A1427&quot;/&gt;&lt;wsp:rsid wsp:val=&quot;007A14C2&quot;/&gt;&lt;wsp:rsid wsp:val=&quot;007A163D&quot;/&gt;&lt;wsp:rsid wsp:val=&quot;007A1D11&quot;/&gt;&lt;wsp:rsid wsp:val=&quot;007A1FA1&quot;/&gt;&lt;wsp:rsid wsp:val=&quot;007A225A&quot;/&gt;&lt;wsp:rsid wsp:val=&quot;007A2C87&quot;/&gt;&lt;wsp:rsid wsp:val=&quot;007A2CF2&quot;/&gt;&lt;wsp:rsid wsp:val=&quot;007A367E&quot;/&gt;&lt;wsp:rsid wsp:val=&quot;007A3AAE&quot;/&gt;&lt;wsp:rsid wsp:val=&quot;007A3F57&quot;/&gt;&lt;wsp:rsid wsp:val=&quot;007A41FB&quot;/&gt;&lt;wsp:rsid wsp:val=&quot;007A42DA&quot;/&gt;&lt;wsp:rsid wsp:val=&quot;007A43D3&quot;/&gt;&lt;wsp:rsid wsp:val=&quot;007A4411&quot;/&gt;&lt;wsp:rsid wsp:val=&quot;007A4878&quot;/&gt;&lt;wsp:rsid wsp:val=&quot;007A4A3B&quot;/&gt;&lt;wsp:rsid wsp:val=&quot;007A5236&quot;/&gt;&lt;wsp:rsid wsp:val=&quot;007A5451&quot;/&gt;&lt;wsp:rsid wsp:val=&quot;007A5460&quot;/&gt;&lt;wsp:rsid wsp:val=&quot;007A613A&quot;/&gt;&lt;wsp:rsid wsp:val=&quot;007A659A&quot;/&gt;&lt;wsp:rsid wsp:val=&quot;007A67AF&quot;/&gt;&lt;wsp:rsid wsp:val=&quot;007A6959&quot;/&gt;&lt;wsp:rsid wsp:val=&quot;007A69AA&quot;/&gt;&lt;wsp:rsid wsp:val=&quot;007A723A&quot;/&gt;&lt;wsp:rsid wsp:val=&quot;007A7585&quot;/&gt;&lt;wsp:rsid wsp:val=&quot;007A7B69&quot;/&gt;&lt;wsp:rsid wsp:val=&quot;007B0013&quot;/&gt;&lt;wsp:rsid wsp:val=&quot;007B0154&quot;/&gt;&lt;wsp:rsid wsp:val=&quot;007B03AB&quot;/&gt;&lt;wsp:rsid wsp:val=&quot;007B03D9&quot;/&gt;&lt;wsp:rsid wsp:val=&quot;007B03EC&quot;/&gt;&lt;wsp:rsid wsp:val=&quot;007B053A&quot;/&gt;&lt;wsp:rsid wsp:val=&quot;007B0832&quot;/&gt;&lt;wsp:rsid wsp:val=&quot;007B0A9D&quot;/&gt;&lt;wsp:rsid wsp:val=&quot;007B1948&quot;/&gt;&lt;wsp:rsid wsp:val=&quot;007B1EE6&quot;/&gt;&lt;wsp:rsid wsp:val=&quot;007B24D5&quot;/&gt;&lt;wsp:rsid wsp:val=&quot;007B2AE0&quot;/&gt;&lt;wsp:rsid wsp:val=&quot;007B39BE&quot;/&gt;&lt;wsp:rsid wsp:val=&quot;007B40E4&quot;/&gt;&lt;wsp:rsid wsp:val=&quot;007B4592&quot;/&gt;&lt;wsp:rsid wsp:val=&quot;007B462D&quot;/&gt;&lt;wsp:rsid wsp:val=&quot;007B4C62&quot;/&gt;&lt;wsp:rsid wsp:val=&quot;007B53F3&quot;/&gt;&lt;wsp:rsid wsp:val=&quot;007B5BE6&quot;/&gt;&lt;wsp:rsid wsp:val=&quot;007B6162&quot;/&gt;&lt;wsp:rsid wsp:val=&quot;007B73A9&quot;/&gt;&lt;wsp:rsid wsp:val=&quot;007B76C2&quot;/&gt;&lt;wsp:rsid wsp:val=&quot;007C058B&quot;/&gt;&lt;wsp:rsid wsp:val=&quot;007C075D&quot;/&gt;&lt;wsp:rsid wsp:val=&quot;007C0C2B&quot;/&gt;&lt;wsp:rsid wsp:val=&quot;007C14D4&quot;/&gt;&lt;wsp:rsid wsp:val=&quot;007C194F&quot;/&gt;&lt;wsp:rsid wsp:val=&quot;007C1BCC&quot;/&gt;&lt;wsp:rsid wsp:val=&quot;007C1F63&quot;/&gt;&lt;wsp:rsid wsp:val=&quot;007C20A5&quot;/&gt;&lt;wsp:rsid wsp:val=&quot;007C23BB&quot;/&gt;&lt;wsp:rsid wsp:val=&quot;007C309C&quot;/&gt;&lt;wsp:rsid wsp:val=&quot;007C38BE&quot;/&gt;&lt;wsp:rsid wsp:val=&quot;007C3C30&quot;/&gt;&lt;wsp:rsid wsp:val=&quot;007C3C53&quot;/&gt;&lt;wsp:rsid wsp:val=&quot;007C3FEE&quot;/&gt;&lt;wsp:rsid wsp:val=&quot;007C58BE&quot;/&gt;&lt;wsp:rsid wsp:val=&quot;007C5A0B&quot;/&gt;&lt;wsp:rsid wsp:val=&quot;007C5ADD&quot;/&gt;&lt;wsp:rsid wsp:val=&quot;007C6B14&quot;/&gt;&lt;wsp:rsid wsp:val=&quot;007C6B9A&quot;/&gt;&lt;wsp:rsid wsp:val=&quot;007C6E30&quot;/&gt;&lt;wsp:rsid wsp:val=&quot;007C6FE6&quot;/&gt;&lt;wsp:rsid wsp:val=&quot;007D00E6&quot;/&gt;&lt;wsp:rsid wsp:val=&quot;007D0F43&quot;/&gt;&lt;wsp:rsid wsp:val=&quot;007D176D&quot;/&gt;&lt;wsp:rsid wsp:val=&quot;007D1928&quot;/&gt;&lt;wsp:rsid wsp:val=&quot;007D21DD&quot;/&gt;&lt;wsp:rsid wsp:val=&quot;007D2C2A&quot;/&gt;&lt;wsp:rsid wsp:val=&quot;007D36D6&quot;/&gt;&lt;wsp:rsid wsp:val=&quot;007D3FAB&quot;/&gt;&lt;wsp:rsid wsp:val=&quot;007D47F6&quot;/&gt;&lt;wsp:rsid wsp:val=&quot;007D4C5D&quot;/&gt;&lt;wsp:rsid wsp:val=&quot;007D4CAC&quot;/&gt;&lt;wsp:rsid wsp:val=&quot;007D4DC4&quot;/&gt;&lt;wsp:rsid wsp:val=&quot;007D5041&quot;/&gt;&lt;wsp:rsid wsp:val=&quot;007D5063&quot;/&gt;&lt;wsp:rsid wsp:val=&quot;007D5C04&quot;/&gt;&lt;wsp:rsid wsp:val=&quot;007D60DE&quot;/&gt;&lt;wsp:rsid wsp:val=&quot;007D6BB8&quot;/&gt;&lt;wsp:rsid wsp:val=&quot;007D6CBD&quot;/&gt;&lt;wsp:rsid wsp:val=&quot;007D7196&quot;/&gt;&lt;wsp:rsid wsp:val=&quot;007D7854&quot;/&gt;&lt;wsp:rsid wsp:val=&quot;007D7C63&quot;/&gt;&lt;wsp:rsid wsp:val=&quot;007D7FF1&quot;/&gt;&lt;wsp:rsid wsp:val=&quot;007E07D0&quot;/&gt;&lt;wsp:rsid wsp:val=&quot;007E10EB&quot;/&gt;&lt;wsp:rsid wsp:val=&quot;007E120A&quot;/&gt;&lt;wsp:rsid wsp:val=&quot;007E1297&quot;/&gt;&lt;wsp:rsid wsp:val=&quot;007E1DF6&quot;/&gt;&lt;wsp:rsid wsp:val=&quot;007E2025&quot;/&gt;&lt;wsp:rsid wsp:val=&quot;007E249D&quot;/&gt;&lt;wsp:rsid wsp:val=&quot;007E2515&quot;/&gt;&lt;wsp:rsid wsp:val=&quot;007E2B5B&quot;/&gt;&lt;wsp:rsid wsp:val=&quot;007E3151&quot;/&gt;&lt;wsp:rsid wsp:val=&quot;007E3B71&quot;/&gt;&lt;wsp:rsid wsp:val=&quot;007E3F62&quot;/&gt;&lt;wsp:rsid wsp:val=&quot;007E4C6B&quot;/&gt;&lt;wsp:rsid wsp:val=&quot;007E4E8B&quot;/&gt;&lt;wsp:rsid wsp:val=&quot;007E5A00&quot;/&gt;&lt;wsp:rsid wsp:val=&quot;007E5ED9&quot;/&gt;&lt;wsp:rsid wsp:val=&quot;007E61A5&quot;/&gt;&lt;wsp:rsid wsp:val=&quot;007E63B1&quot;/&gt;&lt;wsp:rsid wsp:val=&quot;007E66BD&quot;/&gt;&lt;wsp:rsid wsp:val=&quot;007E69BF&quot;/&gt;&lt;wsp:rsid wsp:val=&quot;007E7173&quot;/&gt;&lt;wsp:rsid wsp:val=&quot;007E7ED8&quot;/&gt;&lt;wsp:rsid wsp:val=&quot;007F09E8&quot;/&gt;&lt;wsp:rsid wsp:val=&quot;007F0B71&quot;/&gt;&lt;wsp:rsid wsp:val=&quot;007F0D58&quot;/&gt;&lt;wsp:rsid wsp:val=&quot;007F2106&quot;/&gt;&lt;wsp:rsid wsp:val=&quot;007F23B8&quot;/&gt;&lt;wsp:rsid wsp:val=&quot;007F25A2&quot;/&gt;&lt;wsp:rsid wsp:val=&quot;007F2CFA&quot;/&gt;&lt;wsp:rsid wsp:val=&quot;007F2FCC&quot;/&gt;&lt;wsp:rsid wsp:val=&quot;007F36C3&quot;/&gt;&lt;wsp:rsid wsp:val=&quot;007F390F&quot;/&gt;&lt;wsp:rsid wsp:val=&quot;007F3954&quot;/&gt;&lt;wsp:rsid wsp:val=&quot;007F3FC4&quot;/&gt;&lt;wsp:rsid wsp:val=&quot;007F4133&quot;/&gt;&lt;wsp:rsid wsp:val=&quot;007F459B&quot;/&gt;&lt;wsp:rsid wsp:val=&quot;007F4802&quot;/&gt;&lt;wsp:rsid wsp:val=&quot;007F4D22&quot;/&gt;&lt;wsp:rsid wsp:val=&quot;007F51AE&quot;/&gt;&lt;wsp:rsid wsp:val=&quot;007F5455&quot;/&gt;&lt;wsp:rsid wsp:val=&quot;007F579E&quot;/&gt;&lt;wsp:rsid wsp:val=&quot;007F57B3&quot;/&gt;&lt;wsp:rsid wsp:val=&quot;007F5B1A&quot;/&gt;&lt;wsp:rsid wsp:val=&quot;007F5D8E&quot;/&gt;&lt;wsp:rsid wsp:val=&quot;007F67B6&quot;/&gt;&lt;wsp:rsid wsp:val=&quot;007F7612&quot;/&gt;&lt;wsp:rsid wsp:val=&quot;00800297&quot;/&gt;&lt;wsp:rsid wsp:val=&quot;0080048F&quot;/&gt;&lt;wsp:rsid wsp:val=&quot;00800633&quot;/&gt;&lt;wsp:rsid wsp:val=&quot;00800863&quot;/&gt;&lt;wsp:rsid wsp:val=&quot;00800A66&quot;/&gt;&lt;wsp:rsid wsp:val=&quot;00800AC4&quot;/&gt;&lt;wsp:rsid wsp:val=&quot;008024F1&quot;/&gt;&lt;wsp:rsid wsp:val=&quot;00802971&quot;/&gt;&lt;wsp:rsid wsp:val=&quot;00802C77&quot;/&gt;&lt;wsp:rsid wsp:val=&quot;0080310F&quot;/&gt;&lt;wsp:rsid wsp:val=&quot;00803433&quot;/&gt;&lt;wsp:rsid wsp:val=&quot;00803BE8&quot;/&gt;&lt;wsp:rsid wsp:val=&quot;008046BD&quot;/&gt;&lt;wsp:rsid wsp:val=&quot;008052CE&quot;/&gt;&lt;wsp:rsid wsp:val=&quot;00805334&quot;/&gt;&lt;wsp:rsid wsp:val=&quot;00805AD3&quot;/&gt;&lt;wsp:rsid wsp:val=&quot;00805B4F&quot;/&gt;&lt;wsp:rsid wsp:val=&quot;00805D12&quot;/&gt;&lt;wsp:rsid wsp:val=&quot;008068AA&quot;/&gt;&lt;wsp:rsid wsp:val=&quot;00807B0E&quot;/&gt;&lt;wsp:rsid wsp:val=&quot;00807B1E&quot;/&gt;&lt;wsp:rsid wsp:val=&quot;00807F0A&quot;/&gt;&lt;wsp:rsid wsp:val=&quot;00807F42&quot;/&gt;&lt;wsp:rsid wsp:val=&quot;00810B83&quot;/&gt;&lt;wsp:rsid wsp:val=&quot;00810C61&quot;/&gt;&lt;wsp:rsid wsp:val=&quot;00811227&quot;/&gt;&lt;wsp:rsid wsp:val=&quot;0081156D&quot;/&gt;&lt;wsp:rsid wsp:val=&quot;00811737&quot;/&gt;&lt;wsp:rsid wsp:val=&quot;00811743&quot;/&gt;&lt;wsp:rsid wsp:val=&quot;0081227F&quot;/&gt;&lt;wsp:rsid wsp:val=&quot;008129A5&quot;/&gt;&lt;wsp:rsid wsp:val=&quot;00812F05&quot;/&gt;&lt;wsp:rsid wsp:val=&quot;008134AF&quot;/&gt;&lt;wsp:rsid wsp:val=&quot;0081352C&quot;/&gt;&lt;wsp:rsid wsp:val=&quot;00813F90&quot;/&gt;&lt;wsp:rsid wsp:val=&quot;00814199&quot;/&gt;&lt;wsp:rsid wsp:val=&quot;00814299&quot;/&gt;&lt;wsp:rsid wsp:val=&quot;00814400&quot;/&gt;&lt;wsp:rsid wsp:val=&quot;008148BB&quot;/&gt;&lt;wsp:rsid wsp:val=&quot;00814B6D&quot;/&gt;&lt;wsp:rsid wsp:val=&quot;00814CF1&quot;/&gt;&lt;wsp:rsid wsp:val=&quot;00815135&quot;/&gt;&lt;wsp:rsid wsp:val=&quot;00815578&quot;/&gt;&lt;wsp:rsid wsp:val=&quot;00815AAD&quot;/&gt;&lt;wsp:rsid wsp:val=&quot;008166E9&quot;/&gt;&lt;wsp:rsid wsp:val=&quot;00817386&quot;/&gt;&lt;wsp:rsid wsp:val=&quot;008173B0&quot;/&gt;&lt;wsp:rsid wsp:val=&quot;00817811&quot;/&gt;&lt;wsp:rsid wsp:val=&quot;00817DA0&quot;/&gt;&lt;wsp:rsid wsp:val=&quot;00817FAE&quot;/&gt;&lt;wsp:rsid wsp:val=&quot;008205BD&quot;/&gt;&lt;wsp:rsid wsp:val=&quot;008205E8&quot;/&gt;&lt;wsp:rsid wsp:val=&quot;00820E80&quot;/&gt;&lt;wsp:rsid wsp:val=&quot;00821538&quot;/&gt;&lt;wsp:rsid wsp:val=&quot;00821A9A&quot;/&gt;&lt;wsp:rsid wsp:val=&quot;00822143&quot;/&gt;&lt;wsp:rsid wsp:val=&quot;008225D7&quot;/&gt;&lt;wsp:rsid wsp:val=&quot;008226F1&quot;/&gt;&lt;wsp:rsid wsp:val=&quot;0082304E&quot;/&gt;&lt;wsp:rsid wsp:val=&quot;00823148&quot;/&gt;&lt;wsp:rsid wsp:val=&quot;008233A6&quot;/&gt;&lt;wsp:rsid wsp:val=&quot;00824263&quot;/&gt;&lt;wsp:rsid wsp:val=&quot;008242EE&quot;/&gt;&lt;wsp:rsid wsp:val=&quot;008246F0&quot;/&gt;&lt;wsp:rsid wsp:val=&quot;00824788&quot;/&gt;&lt;wsp:rsid wsp:val=&quot;0082485F&quot;/&gt;&lt;wsp:rsid wsp:val=&quot;0082496F&quot;/&gt;&lt;wsp:rsid wsp:val=&quot;00824B55&quot;/&gt;&lt;wsp:rsid wsp:val=&quot;00824B76&quot;/&gt;&lt;wsp:rsid wsp:val=&quot;00824F8F&quot;/&gt;&lt;wsp:rsid wsp:val=&quot;00825568&quot;/&gt;&lt;wsp:rsid wsp:val=&quot;00825A75&quot;/&gt;&lt;wsp:rsid wsp:val=&quot;008263E4&quot;/&gt;&lt;wsp:rsid wsp:val=&quot;0082650B&quot;/&gt;&lt;wsp:rsid wsp:val=&quot;00826607&quot;/&gt;&lt;wsp:rsid wsp:val=&quot;00827224&quot;/&gt;&lt;wsp:rsid wsp:val=&quot;00827E43&quot;/&gt;&lt;wsp:rsid wsp:val=&quot;0083033F&quot;/&gt;&lt;wsp:rsid wsp:val=&quot;008303A5&quot;/&gt;&lt;wsp:rsid wsp:val=&quot;00830E15&quot;/&gt;&lt;wsp:rsid wsp:val=&quot;008310D2&quot;/&gt;&lt;wsp:rsid wsp:val=&quot;008314EE&quot;/&gt;&lt;wsp:rsid wsp:val=&quot;00832110&quot;/&gt;&lt;wsp:rsid wsp:val=&quot;00832195&quot;/&gt;&lt;wsp:rsid wsp:val=&quot;00832426&quot;/&gt;&lt;wsp:rsid wsp:val=&quot;00832804&quot;/&gt;&lt;wsp:rsid wsp:val=&quot;008330F3&quot;/&gt;&lt;wsp:rsid wsp:val=&quot;0083334F&quot;/&gt;&lt;wsp:rsid wsp:val=&quot;0083360E&quot;/&gt;&lt;wsp:rsid wsp:val=&quot;0083471A&quot;/&gt;&lt;wsp:rsid wsp:val=&quot;00835691&quot;/&gt;&lt;wsp:rsid wsp:val=&quot;00835D1B&quot;/&gt;&lt;wsp:rsid wsp:val=&quot;00835EA2&quot;/&gt;&lt;wsp:rsid wsp:val=&quot;008367B5&quot;/&gt;&lt;wsp:rsid wsp:val=&quot;00836EB2&quot;/&gt;&lt;wsp:rsid wsp:val=&quot;0083705A&quot;/&gt;&lt;wsp:rsid wsp:val=&quot;0084022F&quot;/&gt;&lt;wsp:rsid wsp:val=&quot;00841479&quot;/&gt;&lt;wsp:rsid wsp:val=&quot;0084166A&quot;/&gt;&lt;wsp:rsid wsp:val=&quot;008417BD&quot;/&gt;&lt;wsp:rsid wsp:val=&quot;008418D1&quot;/&gt;&lt;wsp:rsid wsp:val=&quot;00841F37&quot;/&gt;&lt;wsp:rsid wsp:val=&quot;00841F8D&quot;/&gt;&lt;wsp:rsid wsp:val=&quot;00842AA7&quot;/&gt;&lt;wsp:rsid wsp:val=&quot;00842C64&quot;/&gt;&lt;wsp:rsid wsp:val=&quot;00842FD6&quot;/&gt;&lt;wsp:rsid wsp:val=&quot;0084355E&quot;/&gt;&lt;wsp:rsid wsp:val=&quot;00843886&quot;/&gt;&lt;wsp:rsid wsp:val=&quot;008439E0&quot;/&gt;&lt;wsp:rsid wsp:val=&quot;00843A56&quot;/&gt;&lt;wsp:rsid wsp:val=&quot;0084464D&quot;/&gt;&lt;wsp:rsid wsp:val=&quot;0084492C&quot;/&gt;&lt;wsp:rsid wsp:val=&quot;008452C2&quot;/&gt;&lt;wsp:rsid wsp:val=&quot;0084575F&quot;/&gt;&lt;wsp:rsid wsp:val=&quot;00845886&quot;/&gt;&lt;wsp:rsid wsp:val=&quot;00846404&quot;/&gt;&lt;wsp:rsid wsp:val=&quot;0084748F&quot;/&gt;&lt;wsp:rsid wsp:val=&quot;0084791E&quot;/&gt;&lt;wsp:rsid wsp:val=&quot;0084794F&quot;/&gt;&lt;wsp:rsid wsp:val=&quot;008505EF&quot;/&gt;&lt;wsp:rsid wsp:val=&quot;008508E5&quot;/&gt;&lt;wsp:rsid wsp:val=&quot;00850D9E&quot;/&gt;&lt;wsp:rsid wsp:val=&quot;00850F54&quot;/&gt;&lt;wsp:rsid wsp:val=&quot;00851434&quot;/&gt;&lt;wsp:rsid wsp:val=&quot;00851D91&quot;/&gt;&lt;wsp:rsid wsp:val=&quot;00852401&quot;/&gt;&lt;wsp:rsid wsp:val=&quot;008524FA&quot;/&gt;&lt;wsp:rsid wsp:val=&quot;00852B5B&quot;/&gt;&lt;wsp:rsid wsp:val=&quot;00853676&quot;/&gt;&lt;wsp:rsid wsp:val=&quot;00854448&quot;/&gt;&lt;wsp:rsid wsp:val=&quot;00854618&quot;/&gt;&lt;wsp:rsid wsp:val=&quot;00854B40&quot;/&gt;&lt;wsp:rsid wsp:val=&quot;00855200&quot;/&gt;&lt;wsp:rsid wsp:val=&quot;008562CF&quot;/&gt;&lt;wsp:rsid wsp:val=&quot;00856FB7&quot;/&gt;&lt;wsp:rsid wsp:val=&quot;008578A5&quot;/&gt;&lt;wsp:rsid wsp:val=&quot;00860208&quot;/&gt;&lt;wsp:rsid wsp:val=&quot;008609C6&quot;/&gt;&lt;wsp:rsid wsp:val=&quot;00860BAB&quot;/&gt;&lt;wsp:rsid wsp:val=&quot;00860CAE&quot;/&gt;&lt;wsp:rsid wsp:val=&quot;00860EC0&quot;/&gt;&lt;wsp:rsid wsp:val=&quot;008611F8&quot;/&gt;&lt;wsp:rsid wsp:val=&quot;00861706&quot;/&gt;&lt;wsp:rsid wsp:val=&quot;00862073&quot;/&gt;&lt;wsp:rsid wsp:val=&quot;0086217D&quot;/&gt;&lt;wsp:rsid wsp:val=&quot;0086275A&quot;/&gt;&lt;wsp:rsid wsp:val=&quot;00862EE6&quot;/&gt;&lt;wsp:rsid wsp:val=&quot;008630C3&quot;/&gt;&lt;wsp:rsid wsp:val=&quot;0086329C&quot;/&gt;&lt;wsp:rsid wsp:val=&quot;0086336A&quot;/&gt;&lt;wsp:rsid wsp:val=&quot;0086361E&quot;/&gt;&lt;wsp:rsid wsp:val=&quot;008639AB&quot;/&gt;&lt;wsp:rsid wsp:val=&quot;00863BC4&quot;/&gt;&lt;wsp:rsid wsp:val=&quot;00864444&quot;/&gt;&lt;wsp:rsid wsp:val=&quot;00866747&quot;/&gt;&lt;wsp:rsid wsp:val=&quot;008668BC&quot;/&gt;&lt;wsp:rsid wsp:val=&quot;00866FA2&quot;/&gt;&lt;wsp:rsid wsp:val=&quot;00867596&quot;/&gt;&lt;wsp:rsid wsp:val=&quot;00870542&quot;/&gt;&lt;wsp:rsid wsp:val=&quot;0087087C&quot;/&gt;&lt;wsp:rsid wsp:val=&quot;00870A0F&quot;/&gt;&lt;wsp:rsid wsp:val=&quot;00871BEE&quot;/&gt;&lt;wsp:rsid wsp:val=&quot;00872674&quot;/&gt;&lt;wsp:rsid wsp:val=&quot;00872B7B&quot;/&gt;&lt;wsp:rsid wsp:val=&quot;00872CB3&quot;/&gt;&lt;wsp:rsid wsp:val=&quot;00873538&quot;/&gt;&lt;wsp:rsid wsp:val=&quot;00873982&quot;/&gt;&lt;wsp:rsid wsp:val=&quot;00873A5F&quot;/&gt;&lt;wsp:rsid wsp:val=&quot;0087457B&quot;/&gt;&lt;wsp:rsid wsp:val=&quot;00874AEC&quot;/&gt;&lt;wsp:rsid wsp:val=&quot;00874C6D&quot;/&gt;&lt;wsp:rsid wsp:val=&quot;00875044&quot;/&gt;&lt;wsp:rsid wsp:val=&quot;00875854&quot;/&gt;&lt;wsp:rsid wsp:val=&quot;00875927&quot;/&gt;&lt;wsp:rsid wsp:val=&quot;00875A2D&quot;/&gt;&lt;wsp:rsid wsp:val=&quot;00876104&quot;/&gt;&lt;wsp:rsid wsp:val=&quot;00876670&quot;/&gt;&lt;wsp:rsid wsp:val=&quot;00877428&quot;/&gt;&lt;wsp:rsid wsp:val=&quot;00877B11&quot;/&gt;&lt;wsp:rsid wsp:val=&quot;00877B88&quot;/&gt;&lt;wsp:rsid wsp:val=&quot;00877C18&quot;/&gt;&lt;wsp:rsid wsp:val=&quot;00877D36&quot;/&gt;&lt;wsp:rsid wsp:val=&quot;008807B9&quot;/&gt;&lt;wsp:rsid wsp:val=&quot;008808C8&quot;/&gt;&lt;wsp:rsid wsp:val=&quot;00880E0E&quot;/&gt;&lt;wsp:rsid wsp:val=&quot;00881A0C&quot;/&gt;&lt;wsp:rsid wsp:val=&quot;00881B0B&quot;/&gt;&lt;wsp:rsid wsp:val=&quot;00881FA5&quot;/&gt;&lt;wsp:rsid wsp:val=&quot;00882FEC&quot;/&gt;&lt;wsp:rsid wsp:val=&quot;00883F86&quot;/&gt;&lt;wsp:rsid wsp:val=&quot;00884C8D&quot;/&gt;&lt;wsp:rsid wsp:val=&quot;008852B6&quot;/&gt;&lt;wsp:rsid wsp:val=&quot;00885B24&quot;/&gt;&lt;wsp:rsid wsp:val=&quot;00886A37&quot;/&gt;&lt;wsp:rsid wsp:val=&quot;00886AB3&quot;/&gt;&lt;wsp:rsid wsp:val=&quot;00887FC5&quot;/&gt;&lt;wsp:rsid wsp:val=&quot;00890023&quot;/&gt;&lt;wsp:rsid wsp:val=&quot;008901F4&quot;/&gt;&lt;wsp:rsid wsp:val=&quot;00890818&quot;/&gt;&lt;wsp:rsid wsp:val=&quot;008908AE&quot;/&gt;&lt;wsp:rsid wsp:val=&quot;00890BEB&quot;/&gt;&lt;wsp:rsid wsp:val=&quot;00891234&quot;/&gt;&lt;wsp:rsid wsp:val=&quot;0089178E&quot;/&gt;&lt;wsp:rsid wsp:val=&quot;008920BB&quot;/&gt;&lt;wsp:rsid wsp:val=&quot;00892139&quot;/&gt;&lt;wsp:rsid wsp:val=&quot;00892EE4&quot;/&gt;&lt;wsp:rsid wsp:val=&quot;0089301B&quot;/&gt;&lt;wsp:rsid wsp:val=&quot;00893660&quot;/&gt;&lt;wsp:rsid wsp:val=&quot;00893B9D&quot;/&gt;&lt;wsp:rsid wsp:val=&quot;00894694&quot;/&gt;&lt;wsp:rsid wsp:val=&quot;00894944&quot;/&gt;&lt;wsp:rsid wsp:val=&quot;00894FF8&quot;/&gt;&lt;wsp:rsid wsp:val=&quot;008951C4&quot;/&gt;&lt;wsp:rsid wsp:val=&quot;00895569&quot;/&gt;&lt;wsp:rsid wsp:val=&quot;008957E2&quot;/&gt;&lt;wsp:rsid wsp:val=&quot;00895A0A&quot;/&gt;&lt;wsp:rsid wsp:val=&quot;00895B3A&quot;/&gt;&lt;wsp:rsid wsp:val=&quot;00896188&quot;/&gt;&lt;wsp:rsid wsp:val=&quot;008961EB&quot;/&gt;&lt;wsp:rsid wsp:val=&quot;00896A72&quot;/&gt;&lt;wsp:rsid wsp:val=&quot;00896C43&quot;/&gt;&lt;wsp:rsid wsp:val=&quot;008970A1&quot;/&gt;&lt;wsp:rsid wsp:val=&quot;00897720&quot;/&gt;&lt;wsp:rsid wsp:val=&quot;00897E1F&quot;/&gt;&lt;wsp:rsid wsp:val=&quot;00897FBA&quot;/&gt;&lt;wsp:rsid wsp:val=&quot;008A00B7&quot;/&gt;&lt;wsp:rsid wsp:val=&quot;008A02DF&quot;/&gt;&lt;wsp:rsid wsp:val=&quot;008A0BFF&quot;/&gt;&lt;wsp:rsid wsp:val=&quot;008A1844&quot;/&gt;&lt;wsp:rsid wsp:val=&quot;008A197E&quot;/&gt;&lt;wsp:rsid wsp:val=&quot;008A1B60&quot;/&gt;&lt;wsp:rsid wsp:val=&quot;008A1CA4&quot;/&gt;&lt;wsp:rsid wsp:val=&quot;008A1EE7&quot;/&gt;&lt;wsp:rsid wsp:val=&quot;008A2095&quot;/&gt;&lt;wsp:rsid wsp:val=&quot;008A21AE&quot;/&gt;&lt;wsp:rsid wsp:val=&quot;008A22E2&quot;/&gt;&lt;wsp:rsid wsp:val=&quot;008A281A&quot;/&gt;&lt;wsp:rsid wsp:val=&quot;008A2BBB&quot;/&gt;&lt;wsp:rsid wsp:val=&quot;008A2C3E&quot;/&gt;&lt;wsp:rsid wsp:val=&quot;008A2D63&quot;/&gt;&lt;wsp:rsid wsp:val=&quot;008A2F4B&quot;/&gt;&lt;wsp:rsid wsp:val=&quot;008A3056&quot;/&gt;&lt;wsp:rsid wsp:val=&quot;008A30D9&quot;/&gt;&lt;wsp:rsid wsp:val=&quot;008A3F13&quot;/&gt;&lt;wsp:rsid wsp:val=&quot;008A4694&quot;/&gt;&lt;wsp:rsid wsp:val=&quot;008A49BA&quot;/&gt;&lt;wsp:rsid wsp:val=&quot;008A4E97&quot;/&gt;&lt;wsp:rsid wsp:val=&quot;008A4EA1&quot;/&gt;&lt;wsp:rsid wsp:val=&quot;008A5A8D&quot;/&gt;&lt;wsp:rsid wsp:val=&quot;008A5D4B&quot;/&gt;&lt;wsp:rsid wsp:val=&quot;008A6270&quot;/&gt;&lt;wsp:rsid wsp:val=&quot;008A6F2F&quot;/&gt;&lt;wsp:rsid wsp:val=&quot;008A7454&quot;/&gt;&lt;wsp:rsid wsp:val=&quot;008A7A93&quot;/&gt;&lt;wsp:rsid wsp:val=&quot;008B012B&quot;/&gt;&lt;wsp:rsid wsp:val=&quot;008B0219&quot;/&gt;&lt;wsp:rsid wsp:val=&quot;008B05C0&quot;/&gt;&lt;wsp:rsid wsp:val=&quot;008B0724&quot;/&gt;&lt;wsp:rsid wsp:val=&quot;008B08DE&quot;/&gt;&lt;wsp:rsid wsp:val=&quot;008B0DDA&quot;/&gt;&lt;wsp:rsid wsp:val=&quot;008B159F&quot;/&gt;&lt;wsp:rsid wsp:val=&quot;008B17FA&quot;/&gt;&lt;wsp:rsid wsp:val=&quot;008B18C6&quot;/&gt;&lt;wsp:rsid wsp:val=&quot;008B1A4E&quot;/&gt;&lt;wsp:rsid wsp:val=&quot;008B26D4&quot;/&gt;&lt;wsp:rsid wsp:val=&quot;008B3520&quot;/&gt;&lt;wsp:rsid wsp:val=&quot;008B418A&quot;/&gt;&lt;wsp:rsid wsp:val=&quot;008B42F8&quot;/&gt;&lt;wsp:rsid wsp:val=&quot;008B452C&quot;/&gt;&lt;wsp:rsid wsp:val=&quot;008B4539&quot;/&gt;&lt;wsp:rsid wsp:val=&quot;008B46A7&quot;/&gt;&lt;wsp:rsid wsp:val=&quot;008B4D96&quot;/&gt;&lt;wsp:rsid wsp:val=&quot;008B5007&quot;/&gt;&lt;wsp:rsid wsp:val=&quot;008B52BF&quot;/&gt;&lt;wsp:rsid wsp:val=&quot;008B5966&quot;/&gt;&lt;wsp:rsid wsp:val=&quot;008B5C46&quot;/&gt;&lt;wsp:rsid wsp:val=&quot;008B5E0A&quot;/&gt;&lt;wsp:rsid wsp:val=&quot;008B5F5D&quot;/&gt;&lt;wsp:rsid wsp:val=&quot;008B61D8&quot;/&gt;&lt;wsp:rsid wsp:val=&quot;008B6496&quot;/&gt;&lt;wsp:rsid wsp:val=&quot;008B64EF&quot;/&gt;&lt;wsp:rsid wsp:val=&quot;008B6AA9&quot;/&gt;&lt;wsp:rsid wsp:val=&quot;008B6BFA&quot;/&gt;&lt;wsp:rsid wsp:val=&quot;008B7B6F&quot;/&gt;&lt;wsp:rsid wsp:val=&quot;008B7F0C&quot;/&gt;&lt;wsp:rsid wsp:val=&quot;008C087D&quot;/&gt;&lt;wsp:rsid wsp:val=&quot;008C089D&quot;/&gt;&lt;wsp:rsid wsp:val=&quot;008C1101&quot;/&gt;&lt;wsp:rsid wsp:val=&quot;008C16F0&quot;/&gt;&lt;wsp:rsid wsp:val=&quot;008C2AF0&quot;/&gt;&lt;wsp:rsid wsp:val=&quot;008C2B0C&quot;/&gt;&lt;wsp:rsid wsp:val=&quot;008C3DA6&quot;/&gt;&lt;wsp:rsid wsp:val=&quot;008C3EC5&quot;/&gt;&lt;wsp:rsid wsp:val=&quot;008C48DE&quot;/&gt;&lt;wsp:rsid wsp:val=&quot;008C4A50&quot;/&gt;&lt;wsp:rsid wsp:val=&quot;008C5347&quot;/&gt;&lt;wsp:rsid wsp:val=&quot;008C5A0C&quot;/&gt;&lt;wsp:rsid wsp:val=&quot;008C68E5&quot;/&gt;&lt;wsp:rsid wsp:val=&quot;008C7377&quot;/&gt;&lt;wsp:rsid wsp:val=&quot;008C746A&quot;/&gt;&lt;wsp:rsid wsp:val=&quot;008C7D29&quot;/&gt;&lt;wsp:rsid wsp:val=&quot;008D0001&quot;/&gt;&lt;wsp:rsid wsp:val=&quot;008D0170&quot;/&gt;&lt;wsp:rsid wsp:val=&quot;008D0D98&quot;/&gt;&lt;wsp:rsid wsp:val=&quot;008D14FA&quot;/&gt;&lt;wsp:rsid wsp:val=&quot;008D159E&quot;/&gt;&lt;wsp:rsid wsp:val=&quot;008D1A52&quot;/&gt;&lt;wsp:rsid wsp:val=&quot;008D2299&quot;/&gt;&lt;wsp:rsid wsp:val=&quot;008D28D3&quot;/&gt;&lt;wsp:rsid wsp:val=&quot;008D2C90&quot;/&gt;&lt;wsp:rsid wsp:val=&quot;008D2CBB&quot;/&gt;&lt;wsp:rsid wsp:val=&quot;008D2D15&quot;/&gt;&lt;wsp:rsid wsp:val=&quot;008D2E1F&quot;/&gt;&lt;wsp:rsid wsp:val=&quot;008D3117&quot;/&gt;&lt;wsp:rsid wsp:val=&quot;008D325E&quot;/&gt;&lt;wsp:rsid wsp:val=&quot;008D3AE7&quot;/&gt;&lt;wsp:rsid wsp:val=&quot;008D4165&quot;/&gt;&lt;wsp:rsid wsp:val=&quot;008D478C&quot;/&gt;&lt;wsp:rsid wsp:val=&quot;008D4BD8&quot;/&gt;&lt;wsp:rsid wsp:val=&quot;008D4E24&quot;/&gt;&lt;wsp:rsid wsp:val=&quot;008D4E28&quot;/&gt;&lt;wsp:rsid wsp:val=&quot;008D5458&quot;/&gt;&lt;wsp:rsid wsp:val=&quot;008D56F3&quot;/&gt;&lt;wsp:rsid wsp:val=&quot;008D5B96&quot;/&gt;&lt;wsp:rsid wsp:val=&quot;008D602C&quot;/&gt;&lt;wsp:rsid wsp:val=&quot;008D6502&quot;/&gt;&lt;wsp:rsid wsp:val=&quot;008D6939&quot;/&gt;&lt;wsp:rsid wsp:val=&quot;008D6983&quot;/&gt;&lt;wsp:rsid wsp:val=&quot;008E025A&quot;/&gt;&lt;wsp:rsid wsp:val=&quot;008E02E5&quot;/&gt;&lt;wsp:rsid wsp:val=&quot;008E0C2F&quot;/&gt;&lt;wsp:rsid wsp:val=&quot;008E0F86&quot;/&gt;&lt;wsp:rsid wsp:val=&quot;008E189D&quot;/&gt;&lt;wsp:rsid wsp:val=&quot;008E18FF&quot;/&gt;&lt;wsp:rsid wsp:val=&quot;008E2570&quot;/&gt;&lt;wsp:rsid wsp:val=&quot;008E3C2A&quot;/&gt;&lt;wsp:rsid wsp:val=&quot;008E4197&quot;/&gt;&lt;wsp:rsid wsp:val=&quot;008E55C7&quot;/&gt;&lt;wsp:rsid wsp:val=&quot;008E55FF&quot;/&gt;&lt;wsp:rsid wsp:val=&quot;008E575F&quot;/&gt;&lt;wsp:rsid wsp:val=&quot;008E57D3&quot;/&gt;&lt;wsp:rsid wsp:val=&quot;008E5A4C&quot;/&gt;&lt;wsp:rsid wsp:val=&quot;008E658C&quot;/&gt;&lt;wsp:rsid wsp:val=&quot;008E68DF&quot;/&gt;&lt;wsp:rsid wsp:val=&quot;008E6B4E&quot;/&gt;&lt;wsp:rsid wsp:val=&quot;008E6DE7&quot;/&gt;&lt;wsp:rsid wsp:val=&quot;008E76B0&quot;/&gt;&lt;wsp:rsid wsp:val=&quot;008E7732&quot;/&gt;&lt;wsp:rsid wsp:val=&quot;008E797B&quot;/&gt;&lt;wsp:rsid wsp:val=&quot;008E7E21&quot;/&gt;&lt;wsp:rsid wsp:val=&quot;008F1039&quot;/&gt;&lt;wsp:rsid wsp:val=&quot;008F1408&quot;/&gt;&lt;wsp:rsid wsp:val=&quot;008F19D8&quot;/&gt;&lt;wsp:rsid wsp:val=&quot;008F2333&quot;/&gt;&lt;wsp:rsid wsp:val=&quot;008F2CB8&quot;/&gt;&lt;wsp:rsid wsp:val=&quot;008F30E3&quot;/&gt;&lt;wsp:rsid wsp:val=&quot;008F3532&quot;/&gt;&lt;wsp:rsid wsp:val=&quot;008F3841&quot;/&gt;&lt;wsp:rsid wsp:val=&quot;008F3D33&quot;/&gt;&lt;wsp:rsid wsp:val=&quot;008F47EB&quot;/&gt;&lt;wsp:rsid wsp:val=&quot;008F4BDA&quot;/&gt;&lt;wsp:rsid wsp:val=&quot;008F4C16&quot;/&gt;&lt;wsp:rsid wsp:val=&quot;008F54A8&quot;/&gt;&lt;wsp:rsid wsp:val=&quot;008F57F7&quot;/&gt;&lt;wsp:rsid wsp:val=&quot;008F602A&quot;/&gt;&lt;wsp:rsid wsp:val=&quot;008F6154&quot;/&gt;&lt;wsp:rsid wsp:val=&quot;008F6184&quot;/&gt;&lt;wsp:rsid wsp:val=&quot;008F631E&quot;/&gt;&lt;wsp:rsid wsp:val=&quot;008F6826&quot;/&gt;&lt;wsp:rsid wsp:val=&quot;008F6EBB&quot;/&gt;&lt;wsp:rsid wsp:val=&quot;008F7287&quot;/&gt;&lt;wsp:rsid wsp:val=&quot;008F79CD&quot;/&gt;&lt;wsp:rsid wsp:val=&quot;008F7F5B&quot;/&gt;&lt;wsp:rsid wsp:val=&quot;009002AD&quot;/&gt;&lt;wsp:rsid wsp:val=&quot;0090096D&quot;/&gt;&lt;wsp:rsid wsp:val=&quot;00901044&quot;/&gt;&lt;wsp:rsid wsp:val=&quot;00901799&quot;/&gt;&lt;wsp:rsid wsp:val=&quot;009019A8&quot;/&gt;&lt;wsp:rsid wsp:val=&quot;00901B6C&quot;/&gt;&lt;wsp:rsid wsp:val=&quot;00901DE6&quot;/&gt;&lt;wsp:rsid wsp:val=&quot;00902024&quot;/&gt;&lt;wsp:rsid wsp:val=&quot;00902720&quot;/&gt;&lt;wsp:rsid wsp:val=&quot;009029DE&quot;/&gt;&lt;wsp:rsid wsp:val=&quot;009031D5&quot;/&gt;&lt;wsp:rsid wsp:val=&quot;009035E8&quot;/&gt;&lt;wsp:rsid wsp:val=&quot;00904373&quot;/&gt;&lt;wsp:rsid wsp:val=&quot;00904A17&quot;/&gt;&lt;wsp:rsid wsp:val=&quot;00904EB5&quot;/&gt;&lt;wsp:rsid wsp:val=&quot;0090511A&quot;/&gt;&lt;wsp:rsid wsp:val=&quot;009051A3&quot;/&gt;&lt;wsp:rsid wsp:val=&quot;009051A4&quot;/&gt;&lt;wsp:rsid wsp:val=&quot;0090520B&quot;/&gt;&lt;wsp:rsid wsp:val=&quot;00906069&quot;/&gt;&lt;wsp:rsid wsp:val=&quot;00906111&quot;/&gt;&lt;wsp:rsid wsp:val=&quot;009071C0&quot;/&gt;&lt;wsp:rsid wsp:val=&quot;00907C1C&quot;/&gt;&lt;wsp:rsid wsp:val=&quot;00907CB2&quot;/&gt;&lt;wsp:rsid wsp:val=&quot;0091050F&quot;/&gt;&lt;wsp:rsid wsp:val=&quot;00910545&quot;/&gt;&lt;wsp:rsid wsp:val=&quot;00910EF2&quot;/&gt;&lt;wsp:rsid wsp:val=&quot;009113B0&quot;/&gt;&lt;wsp:rsid wsp:val=&quot;00911CE5&quot;/&gt;&lt;wsp:rsid wsp:val=&quot;00911FDD&quot;/&gt;&lt;wsp:rsid wsp:val=&quot;0091289D&quot;/&gt;&lt;wsp:rsid wsp:val=&quot;00912C3A&quot;/&gt;&lt;wsp:rsid wsp:val=&quot;00913629&quot;/&gt;&lt;wsp:rsid wsp:val=&quot;00914492&quot;/&gt;&lt;wsp:rsid wsp:val=&quot;00914B84&quot;/&gt;&lt;wsp:rsid wsp:val=&quot;00915105&quot;/&gt;&lt;wsp:rsid wsp:val=&quot;00916806&quot;/&gt;&lt;wsp:rsid wsp:val=&quot;00916B25&quot;/&gt;&lt;wsp:rsid wsp:val=&quot;00916D60&quot;/&gt;&lt;wsp:rsid wsp:val=&quot;00916EFF&quot;/&gt;&lt;wsp:rsid wsp:val=&quot;00917732&quot;/&gt;&lt;wsp:rsid wsp:val=&quot;0091777E&quot;/&gt;&lt;wsp:rsid wsp:val=&quot;00917A5F&quot;/&gt;&lt;wsp:rsid wsp:val=&quot;00917E93&quot;/&gt;&lt;wsp:rsid wsp:val=&quot;00917EA3&quot;/&gt;&lt;wsp:rsid wsp:val=&quot;009204DA&quot;/&gt;&lt;wsp:rsid wsp:val=&quot;0092077F&quot;/&gt;&lt;wsp:rsid wsp:val=&quot;00920C55&quot;/&gt;&lt;wsp:rsid wsp:val=&quot;00921016&quot;/&gt;&lt;wsp:rsid wsp:val=&quot;00921677&quot;/&gt;&lt;wsp:rsid wsp:val=&quot;0092209E&quot;/&gt;&lt;wsp:rsid wsp:val=&quot;00922DDB&quot;/&gt;&lt;wsp:rsid wsp:val=&quot;00922FD4&quot;/&gt;&lt;wsp:rsid wsp:val=&quot;00923444&quot;/&gt;&lt;wsp:rsid wsp:val=&quot;00923F44&quot;/&gt;&lt;wsp:rsid wsp:val=&quot;00923FBE&quot;/&gt;&lt;wsp:rsid wsp:val=&quot;0092480C&quot;/&gt;&lt;wsp:rsid wsp:val=&quot;009248C9&quot;/&gt;&lt;wsp:rsid wsp:val=&quot;00924C5C&quot;/&gt;&lt;wsp:rsid wsp:val=&quot;009254AA&quot;/&gt;&lt;wsp:rsid wsp:val=&quot;00925C13&quot;/&gt;&lt;wsp:rsid wsp:val=&quot;009268C5&quot;/&gt;&lt;wsp:rsid wsp:val=&quot;00926CBF&quot;/&gt;&lt;wsp:rsid wsp:val=&quot;00927B68&quot;/&gt;&lt;wsp:rsid wsp:val=&quot;009302F8&quot;/&gt;&lt;wsp:rsid wsp:val=&quot;00930675&quot;/&gt;&lt;wsp:rsid wsp:val=&quot;00930800&quot;/&gt;&lt;wsp:rsid wsp:val=&quot;00931107&quot;/&gt;&lt;wsp:rsid wsp:val=&quot;00931C0C&quot;/&gt;&lt;wsp:rsid wsp:val=&quot;0093253E&quot;/&gt;&lt;wsp:rsid wsp:val=&quot;0093271E&quot;/&gt;&lt;wsp:rsid wsp:val=&quot;00932B89&quot;/&gt;&lt;wsp:rsid wsp:val=&quot;009332D0&quot;/&gt;&lt;wsp:rsid wsp:val=&quot;00933624&quot;/&gt;&lt;wsp:rsid wsp:val=&quot;00933C1F&quot;/&gt;&lt;wsp:rsid wsp:val=&quot;00933C4B&quot;/&gt;&lt;wsp:rsid wsp:val=&quot;00934037&quot;/&gt;&lt;wsp:rsid wsp:val=&quot;0093424B&quot;/&gt;&lt;wsp:rsid wsp:val=&quot;0093532A&quot;/&gt;&lt;wsp:rsid wsp:val=&quot;00935D26&quot;/&gt;&lt;wsp:rsid wsp:val=&quot;009360FC&quot;/&gt;&lt;wsp:rsid wsp:val=&quot;00936312&quot;/&gt;&lt;wsp:rsid wsp:val=&quot;00936567&quot;/&gt;&lt;wsp:rsid wsp:val=&quot;00936EB2&quot;/&gt;&lt;wsp:rsid wsp:val=&quot;0093768A&quot;/&gt;&lt;wsp:rsid wsp:val=&quot;00937926&quot;/&gt;&lt;wsp:rsid wsp:val=&quot;00937A9F&quot;/&gt;&lt;wsp:rsid wsp:val=&quot;00940006&quot;/&gt;&lt;wsp:rsid wsp:val=&quot;00940084&quot;/&gt;&lt;wsp:rsid wsp:val=&quot;00940703&quot;/&gt;&lt;wsp:rsid wsp:val=&quot;009416DD&quot;/&gt;&lt;wsp:rsid wsp:val=&quot;00941AE9&quot;/&gt;&lt;wsp:rsid wsp:val=&quot;00941C1A&quot;/&gt;&lt;wsp:rsid wsp:val=&quot;00941E4A&quot;/&gt;&lt;wsp:rsid wsp:val=&quot;00943D2D&quot;/&gt;&lt;wsp:rsid wsp:val=&quot;00943EBF&quot;/&gt;&lt;wsp:rsid wsp:val=&quot;0094425F&quot;/&gt;&lt;wsp:rsid wsp:val=&quot;009443B1&quot;/&gt;&lt;wsp:rsid wsp:val=&quot;0094529E&quot;/&gt;&lt;wsp:rsid wsp:val=&quot;00945C13&quot;/&gt;&lt;wsp:rsid wsp:val=&quot;0094680A&quot;/&gt;&lt;wsp:rsid wsp:val=&quot;009468F4&quot;/&gt;&lt;wsp:rsid wsp:val=&quot;00946908&quot;/&gt;&lt;wsp:rsid wsp:val=&quot;009474A7&quot;/&gt;&lt;wsp:rsid wsp:val=&quot;009479CA&quot;/&gt;&lt;wsp:rsid wsp:val=&quot;00950056&quot;/&gt;&lt;wsp:rsid wsp:val=&quot;0095009A&quot;/&gt;&lt;wsp:rsid wsp:val=&quot;00950141&quot;/&gt;&lt;wsp:rsid wsp:val=&quot;0095042C&quot;/&gt;&lt;wsp:rsid wsp:val=&quot;00950AB0&quot;/&gt;&lt;wsp:rsid wsp:val=&quot;00951365&quot;/&gt;&lt;wsp:rsid wsp:val=&quot;00952058&quot;/&gt;&lt;wsp:rsid wsp:val=&quot;00952E2E&quot;/&gt;&lt;wsp:rsid wsp:val=&quot;0095344D&quot;/&gt;&lt;wsp:rsid wsp:val=&quot;00953469&quot;/&gt;&lt;wsp:rsid wsp:val=&quot;00953A2D&quot;/&gt;&lt;wsp:rsid wsp:val=&quot;009544CE&quot;/&gt;&lt;wsp:rsid wsp:val=&quot;009547E7&quot;/&gt;&lt;wsp:rsid wsp:val=&quot;00955336&quot;/&gt;&lt;wsp:rsid wsp:val=&quot;00955451&quot;/&gt;&lt;wsp:rsid wsp:val=&quot;009558F4&quot;/&gt;&lt;wsp:rsid wsp:val=&quot;00955A16&quot;/&gt;&lt;wsp:rsid wsp:val=&quot;0095624A&quot;/&gt;&lt;wsp:rsid wsp:val=&quot;0095675A&quot;/&gt;&lt;wsp:rsid wsp:val=&quot;00956B03&quot;/&gt;&lt;wsp:rsid wsp:val=&quot;00956E82&quot;/&gt;&lt;wsp:rsid wsp:val=&quot;00956FAB&quot;/&gt;&lt;wsp:rsid wsp:val=&quot;00957287&quot;/&gt;&lt;wsp:rsid wsp:val=&quot;009577DE&quot;/&gt;&lt;wsp:rsid wsp:val=&quot;00957B60&quot;/&gt;&lt;wsp:rsid wsp:val=&quot;00957E02&quot;/&gt;&lt;wsp:rsid wsp:val=&quot;00957E47&quot;/&gt;&lt;wsp:rsid wsp:val=&quot;00960BA4&quot;/&gt;&lt;wsp:rsid wsp:val=&quot;009618CF&quot;/&gt;&lt;wsp:rsid wsp:val=&quot;00961AE0&quot;/&gt;&lt;wsp:rsid wsp:val=&quot;00961CAF&quot;/&gt;&lt;wsp:rsid wsp:val=&quot;00962431&quot;/&gt;&lt;wsp:rsid wsp:val=&quot;00962B3A&quot;/&gt;&lt;wsp:rsid wsp:val=&quot;0096310A&quot;/&gt;&lt;wsp:rsid wsp:val=&quot;00963399&quot;/&gt;&lt;wsp:rsid wsp:val=&quot;00963EF5&quot;/&gt;&lt;wsp:rsid wsp:val=&quot;00965352&quot;/&gt;&lt;wsp:rsid wsp:val=&quot;009654F1&quot;/&gt;&lt;wsp:rsid wsp:val=&quot;00965C02&quot;/&gt;&lt;wsp:rsid wsp:val=&quot;009663C2&quot;/&gt;&lt;wsp:rsid wsp:val=&quot;009666CB&quot;/&gt;&lt;wsp:rsid wsp:val=&quot;00966C00&quot;/&gt;&lt;wsp:rsid wsp:val=&quot;00966C88&quot;/&gt;&lt;wsp:rsid wsp:val=&quot;00966E66&quot;/&gt;&lt;wsp:rsid wsp:val=&quot;00967561&quot;/&gt;&lt;wsp:rsid wsp:val=&quot;0097049A&quot;/&gt;&lt;wsp:rsid wsp:val=&quot;0097129C&quot;/&gt;&lt;wsp:rsid wsp:val=&quot;00971908&quot;/&gt;&lt;wsp:rsid wsp:val=&quot;00971DF0&quot;/&gt;&lt;wsp:rsid wsp:val=&quot;00972731&quot;/&gt;&lt;wsp:rsid wsp:val=&quot;00972DEA&quot;/&gt;&lt;wsp:rsid wsp:val=&quot;00972E81&quot;/&gt;&lt;wsp:rsid wsp:val=&quot;00973227&quot;/&gt;&lt;wsp:rsid wsp:val=&quot;00973D62&quot;/&gt;&lt;wsp:rsid wsp:val=&quot;00973E66&quot;/&gt;&lt;wsp:rsid wsp:val=&quot;00974687&quot;/&gt;&lt;wsp:rsid wsp:val=&quot;00974B11&quot;/&gt;&lt;wsp:rsid wsp:val=&quot;00975237&quot;/&gt;&lt;wsp:rsid wsp:val=&quot;00975CBD&quot;/&gt;&lt;wsp:rsid wsp:val=&quot;00975FD7&quot;/&gt;&lt;wsp:rsid wsp:val=&quot;00976372&quot;/&gt;&lt;wsp:rsid wsp:val=&quot;00976783&quot;/&gt;&lt;wsp:rsid wsp:val=&quot;00976A1F&quot;/&gt;&lt;wsp:rsid wsp:val=&quot;00976AD4&quot;/&gt;&lt;wsp:rsid wsp:val=&quot;009774D4&quot;/&gt;&lt;wsp:rsid wsp:val=&quot;00977584&quot;/&gt;&lt;wsp:rsid wsp:val=&quot;0097772C&quot;/&gt;&lt;wsp:rsid wsp:val=&quot;00977CAB&quot;/&gt;&lt;wsp:rsid wsp:val=&quot;009800E6&quot;/&gt;&lt;wsp:rsid wsp:val=&quot;009813F0&quot;/&gt;&lt;wsp:rsid wsp:val=&quot;00981916&quot;/&gt;&lt;wsp:rsid wsp:val=&quot;009819A4&quot;/&gt;&lt;wsp:rsid wsp:val=&quot;00981C4A&quot;/&gt;&lt;wsp:rsid wsp:val=&quot;009826E7&quot;/&gt;&lt;wsp:rsid wsp:val=&quot;0098288E&quot;/&gt;&lt;wsp:rsid wsp:val=&quot;00983384&quot;/&gt;&lt;wsp:rsid wsp:val=&quot;00983566&quot;/&gt;&lt;wsp:rsid wsp:val=&quot;0098439B&quot;/&gt;&lt;wsp:rsid wsp:val=&quot;00984BED&quot;/&gt;&lt;wsp:rsid wsp:val=&quot;00985BA4&quot;/&gt;&lt;wsp:rsid wsp:val=&quot;009864A3&quot;/&gt;&lt;wsp:rsid wsp:val=&quot;00986C8D&quot;/&gt;&lt;wsp:rsid wsp:val=&quot;009878D4&quot;/&gt;&lt;wsp:rsid wsp:val=&quot;00987C50&quot;/&gt;&lt;wsp:rsid wsp:val=&quot;0099055D&quot;/&gt;&lt;wsp:rsid wsp:val=&quot;00990977&quot;/&gt;&lt;wsp:rsid wsp:val=&quot;00990978&quot;/&gt;&lt;wsp:rsid wsp:val=&quot;00990E53&quot;/&gt;&lt;wsp:rsid wsp:val=&quot;00991029&quot;/&gt;&lt;wsp:rsid wsp:val=&quot;00991257&quot;/&gt;&lt;wsp:rsid wsp:val=&quot;00991367&quot;/&gt;&lt;wsp:rsid wsp:val=&quot;00991DBF&quot;/&gt;&lt;wsp:rsid wsp:val=&quot;00991EA9&quot;/&gt;&lt;wsp:rsid wsp:val=&quot;0099247C&quot;/&gt;&lt;wsp:rsid wsp:val=&quot;0099255C&quot;/&gt;&lt;wsp:rsid wsp:val=&quot;00992B8A&quot;/&gt;&lt;wsp:rsid wsp:val=&quot;00992CBE&quot;/&gt;&lt;wsp:rsid wsp:val=&quot;009935E2&quot;/&gt;&lt;wsp:rsid wsp:val=&quot;009939FE&quot;/&gt;&lt;wsp:rsid wsp:val=&quot;00993D83&quot;/&gt;&lt;wsp:rsid wsp:val=&quot;00994AF8&quot;/&gt;&lt;wsp:rsid wsp:val=&quot;00994E45&quot;/&gt;&lt;wsp:rsid wsp:val=&quot;00995061&quot;/&gt;&lt;wsp:rsid wsp:val=&quot;0099559E&quot;/&gt;&lt;wsp:rsid wsp:val=&quot;0099588B&quot;/&gt;&lt;wsp:rsid wsp:val=&quot;00995B21&quot;/&gt;&lt;wsp:rsid wsp:val=&quot;00996333&quot;/&gt;&lt;wsp:rsid wsp:val=&quot;00996401&quot;/&gt;&lt;wsp:rsid wsp:val=&quot;00996D37&quot;/&gt;&lt;wsp:rsid wsp:val=&quot;00996E17&quot;/&gt;&lt;wsp:rsid wsp:val=&quot;00996E2F&quot;/&gt;&lt;wsp:rsid wsp:val=&quot;00997359&quot;/&gt;&lt;wsp:rsid wsp:val=&quot;00997945&quot;/&gt;&lt;wsp:rsid wsp:val=&quot;009A0F8D&quot;/&gt;&lt;wsp:rsid wsp:val=&quot;009A2C38&quot;/&gt;&lt;wsp:rsid wsp:val=&quot;009A2F15&quot;/&gt;&lt;wsp:rsid wsp:val=&quot;009A3B85&quot;/&gt;&lt;wsp:rsid wsp:val=&quot;009A46D2&quot;/&gt;&lt;wsp:rsid wsp:val=&quot;009A496F&quot;/&gt;&lt;wsp:rsid wsp:val=&quot;009A4A13&quot;/&gt;&lt;wsp:rsid wsp:val=&quot;009A4E24&quot;/&gt;&lt;wsp:rsid wsp:val=&quot;009A504F&quot;/&gt;&lt;wsp:rsid wsp:val=&quot;009A6299&quot;/&gt;&lt;wsp:rsid wsp:val=&quot;009A6581&quot;/&gt;&lt;wsp:rsid wsp:val=&quot;009A72BA&quot;/&gt;&lt;wsp:rsid wsp:val=&quot;009A7412&quot;/&gt;&lt;wsp:rsid wsp:val=&quot;009A77DB&quot;/&gt;&lt;wsp:rsid wsp:val=&quot;009A7D5C&quot;/&gt;&lt;wsp:rsid wsp:val=&quot;009B007A&quot;/&gt;&lt;wsp:rsid wsp:val=&quot;009B12B2&quot;/&gt;&lt;wsp:rsid wsp:val=&quot;009B2340&quot;/&gt;&lt;wsp:rsid wsp:val=&quot;009B272E&quot;/&gt;&lt;wsp:rsid wsp:val=&quot;009B2B4A&quot;/&gt;&lt;wsp:rsid wsp:val=&quot;009B2FEC&quot;/&gt;&lt;wsp:rsid wsp:val=&quot;009B3042&quot;/&gt;&lt;wsp:rsid wsp:val=&quot;009B3355&quot;/&gt;&lt;wsp:rsid wsp:val=&quot;009B3A4A&quot;/&gt;&lt;wsp:rsid wsp:val=&quot;009B3F5F&quot;/&gt;&lt;wsp:rsid wsp:val=&quot;009B3F8C&quot;/&gt;&lt;wsp:rsid wsp:val=&quot;009B40B2&quot;/&gt;&lt;wsp:rsid wsp:val=&quot;009B4A60&quot;/&gt;&lt;wsp:rsid wsp:val=&quot;009B4D49&quot;/&gt;&lt;wsp:rsid wsp:val=&quot;009B503D&quot;/&gt;&lt;wsp:rsid wsp:val=&quot;009B576C&quot;/&gt;&lt;wsp:rsid wsp:val=&quot;009B5BCB&quot;/&gt;&lt;wsp:rsid wsp:val=&quot;009B6EA4&quot;/&gt;&lt;wsp:rsid wsp:val=&quot;009B7319&quot;/&gt;&lt;wsp:rsid wsp:val=&quot;009B7BE2&quot;/&gt;&lt;wsp:rsid wsp:val=&quot;009B7BFC&quot;/&gt;&lt;wsp:rsid wsp:val=&quot;009B7F5C&quot;/&gt;&lt;wsp:rsid wsp:val=&quot;009C01EA&quot;/&gt;&lt;wsp:rsid wsp:val=&quot;009C09D1&quot;/&gt;&lt;wsp:rsid wsp:val=&quot;009C0A33&quot;/&gt;&lt;wsp:rsid wsp:val=&quot;009C0B17&quot;/&gt;&lt;wsp:rsid wsp:val=&quot;009C11FC&quot;/&gt;&lt;wsp:rsid wsp:val=&quot;009C234C&quot;/&gt;&lt;wsp:rsid wsp:val=&quot;009C25E1&quot;/&gt;&lt;wsp:rsid wsp:val=&quot;009C2894&quot;/&gt;&lt;wsp:rsid wsp:val=&quot;009C2940&quot;/&gt;&lt;wsp:rsid wsp:val=&quot;009C48C8&quot;/&gt;&lt;wsp:rsid wsp:val=&quot;009C4B66&quot;/&gt;&lt;wsp:rsid wsp:val=&quot;009C4B6F&quot;/&gt;&lt;wsp:rsid wsp:val=&quot;009C5C5A&quot;/&gt;&lt;wsp:rsid wsp:val=&quot;009C640B&quot;/&gt;&lt;wsp:rsid wsp:val=&quot;009C6DBB&quot;/&gt;&lt;wsp:rsid wsp:val=&quot;009C70A1&quot;/&gt;&lt;wsp:rsid wsp:val=&quot;009C7426&quot;/&gt;&lt;wsp:rsid wsp:val=&quot;009C75C2&quot;/&gt;&lt;wsp:rsid wsp:val=&quot;009C79F7&quot;/&gt;&lt;wsp:rsid wsp:val=&quot;009C7A20&quot;/&gt;&lt;wsp:rsid wsp:val=&quot;009C7DE4&quot;/&gt;&lt;wsp:rsid wsp:val=&quot;009D07E2&quot;/&gt;&lt;wsp:rsid wsp:val=&quot;009D0A75&quot;/&gt;&lt;wsp:rsid wsp:val=&quot;009D100C&quot;/&gt;&lt;wsp:rsid wsp:val=&quot;009D1DA3&quot;/&gt;&lt;wsp:rsid wsp:val=&quot;009D21F3&quot;/&gt;&lt;wsp:rsid wsp:val=&quot;009D22B3&quot;/&gt;&lt;wsp:rsid wsp:val=&quot;009D3A42&quot;/&gt;&lt;wsp:rsid wsp:val=&quot;009D441A&quot;/&gt;&lt;wsp:rsid wsp:val=&quot;009D4A74&quot;/&gt;&lt;wsp:rsid wsp:val=&quot;009D4D3B&quot;/&gt;&lt;wsp:rsid wsp:val=&quot;009D5601&quot;/&gt;&lt;wsp:rsid wsp:val=&quot;009D5AA8&quot;/&gt;&lt;wsp:rsid wsp:val=&quot;009D6875&quot;/&gt;&lt;wsp:rsid wsp:val=&quot;009E03C7&quot;/&gt;&lt;wsp:rsid wsp:val=&quot;009E05E8&quot;/&gt;&lt;wsp:rsid wsp:val=&quot;009E07C8&quot;/&gt;&lt;wsp:rsid wsp:val=&quot;009E122B&quot;/&gt;&lt;wsp:rsid wsp:val=&quot;009E144A&quot;/&gt;&lt;wsp:rsid wsp:val=&quot;009E1740&quot;/&gt;&lt;wsp:rsid wsp:val=&quot;009E1990&quot;/&gt;&lt;wsp:rsid wsp:val=&quot;009E258E&quot;/&gt;&lt;wsp:rsid wsp:val=&quot;009E2985&quot;/&gt;&lt;wsp:rsid wsp:val=&quot;009E2CE7&quot;/&gt;&lt;wsp:rsid wsp:val=&quot;009E2D2E&quot;/&gt;&lt;wsp:rsid wsp:val=&quot;009E33FE&quot;/&gt;&lt;wsp:rsid wsp:val=&quot;009E3581&quot;/&gt;&lt;wsp:rsid wsp:val=&quot;009E391D&quot;/&gt;&lt;wsp:rsid wsp:val=&quot;009E3C80&quot;/&gt;&lt;wsp:rsid wsp:val=&quot;009E3D76&quot;/&gt;&lt;wsp:rsid wsp:val=&quot;009E411D&quot;/&gt;&lt;wsp:rsid wsp:val=&quot;009E41FD&quot;/&gt;&lt;wsp:rsid wsp:val=&quot;009E4474&quot;/&gt;&lt;wsp:rsid wsp:val=&quot;009E4DEC&quot;/&gt;&lt;wsp:rsid wsp:val=&quot;009E4E1D&quot;/&gt;&lt;wsp:rsid wsp:val=&quot;009E527B&quot;/&gt;&lt;wsp:rsid wsp:val=&quot;009E52ED&quot;/&gt;&lt;wsp:rsid wsp:val=&quot;009E531A&quot;/&gt;&lt;wsp:rsid wsp:val=&quot;009E5566&quot;/&gt;&lt;wsp:rsid wsp:val=&quot;009E5E0C&quot;/&gt;&lt;wsp:rsid wsp:val=&quot;009E5E48&quot;/&gt;&lt;wsp:rsid wsp:val=&quot;009E6194&quot;/&gt;&lt;wsp:rsid wsp:val=&quot;009E6374&quot;/&gt;&lt;wsp:rsid wsp:val=&quot;009E6C25&quot;/&gt;&lt;wsp:rsid wsp:val=&quot;009E6D15&quot;/&gt;&lt;wsp:rsid wsp:val=&quot;009E6D9D&quot;/&gt;&lt;wsp:rsid wsp:val=&quot;009E6FD9&quot;/&gt;&lt;wsp:rsid wsp:val=&quot;009E7361&quot;/&gt;&lt;wsp:rsid wsp:val=&quot;009E7918&quot;/&gt;&lt;wsp:rsid wsp:val=&quot;009E79E1&quot;/&gt;&lt;wsp:rsid wsp:val=&quot;009F186A&quot;/&gt;&lt;wsp:rsid wsp:val=&quot;009F1AE8&quot;/&gt;&lt;wsp:rsid wsp:val=&quot;009F2304&quot;/&gt;&lt;wsp:rsid wsp:val=&quot;009F321A&quot;/&gt;&lt;wsp:rsid wsp:val=&quot;009F3657&quot;/&gt;&lt;wsp:rsid wsp:val=&quot;009F3BF5&quot;/&gt;&lt;wsp:rsid wsp:val=&quot;009F4093&quot;/&gt;&lt;wsp:rsid wsp:val=&quot;009F45B8&quot;/&gt;&lt;wsp:rsid wsp:val=&quot;009F487D&quot;/&gt;&lt;wsp:rsid wsp:val=&quot;009F4A7C&quot;/&gt;&lt;wsp:rsid wsp:val=&quot;009F5650&quot;/&gt;&lt;wsp:rsid wsp:val=&quot;009F5D3B&quot;/&gt;&lt;wsp:rsid wsp:val=&quot;009F616C&quot;/&gt;&lt;wsp:rsid wsp:val=&quot;009F628D&quot;/&gt;&lt;wsp:rsid wsp:val=&quot;009F70EF&quot;/&gt;&lt;wsp:rsid wsp:val=&quot;009F7446&quot;/&gt;&lt;wsp:rsid wsp:val=&quot;009F7639&quot;/&gt;&lt;wsp:rsid wsp:val=&quot;00A002E1&quot;/&gt;&lt;wsp:rsid wsp:val=&quot;00A00C39&quot;/&gt;&lt;wsp:rsid wsp:val=&quot;00A00E89&quot;/&gt;&lt;wsp:rsid wsp:val=&quot;00A00F09&quot;/&gt;&lt;wsp:rsid wsp:val=&quot;00A0139D&quot;/&gt;&lt;wsp:rsid wsp:val=&quot;00A0186A&quot;/&gt;&lt;wsp:rsid wsp:val=&quot;00A01875&quot;/&gt;&lt;wsp:rsid wsp:val=&quot;00A0208B&quot;/&gt;&lt;wsp:rsid wsp:val=&quot;00A025C4&quot;/&gt;&lt;wsp:rsid wsp:val=&quot;00A0321D&quot;/&gt;&lt;wsp:rsid wsp:val=&quot;00A03A3E&quot;/&gt;&lt;wsp:rsid wsp:val=&quot;00A040B6&quot;/&gt;&lt;wsp:rsid wsp:val=&quot;00A046FA&quot;/&gt;&lt;wsp:rsid wsp:val=&quot;00A04CE9&quot;/&gt;&lt;wsp:rsid wsp:val=&quot;00A05393&quot;/&gt;&lt;wsp:rsid wsp:val=&quot;00A055BC&quot;/&gt;&lt;wsp:rsid wsp:val=&quot;00A0586D&quot;/&gt;&lt;wsp:rsid wsp:val=&quot;00A0613D&quot;/&gt;&lt;wsp:rsid wsp:val=&quot;00A061E9&quot;/&gt;&lt;wsp:rsid wsp:val=&quot;00A066E1&quot;/&gt;&lt;wsp:rsid wsp:val=&quot;00A06CEE&quot;/&gt;&lt;wsp:rsid wsp:val=&quot;00A07694&quot;/&gt;&lt;wsp:rsid wsp:val=&quot;00A079E3&quot;/&gt;&lt;wsp:rsid wsp:val=&quot;00A07F82&quot;/&gt;&lt;wsp:rsid wsp:val=&quot;00A102ED&quot;/&gt;&lt;wsp:rsid wsp:val=&quot;00A1064E&quot;/&gt;&lt;wsp:rsid wsp:val=&quot;00A1155C&quot;/&gt;&lt;wsp:rsid wsp:val=&quot;00A11D7C&quot;/&gt;&lt;wsp:rsid wsp:val=&quot;00A11DA0&quot;/&gt;&lt;wsp:rsid wsp:val=&quot;00A11EE4&quot;/&gt;&lt;wsp:rsid wsp:val=&quot;00A12052&quot;/&gt;&lt;wsp:rsid wsp:val=&quot;00A12185&quot;/&gt;&lt;wsp:rsid wsp:val=&quot;00A122EC&quot;/&gt;&lt;wsp:rsid wsp:val=&quot;00A12360&quot;/&gt;&lt;wsp:rsid wsp:val=&quot;00A13DDA&quot;/&gt;&lt;wsp:rsid wsp:val=&quot;00A14426&quot;/&gt;&lt;wsp:rsid wsp:val=&quot;00A14A8A&quot;/&gt;&lt;wsp:rsid wsp:val=&quot;00A14B1F&quot;/&gt;&lt;wsp:rsid wsp:val=&quot;00A14DE7&quot;/&gt;&lt;wsp:rsid wsp:val=&quot;00A15365&quot;/&gt;&lt;wsp:rsid wsp:val=&quot;00A15DF4&quot;/&gt;&lt;wsp:rsid wsp:val=&quot;00A1636D&quot;/&gt;&lt;wsp:rsid wsp:val=&quot;00A16B6E&quot;/&gt;&lt;wsp:rsid wsp:val=&quot;00A16C6D&quot;/&gt;&lt;wsp:rsid wsp:val=&quot;00A17203&quot;/&gt;&lt;wsp:rsid wsp:val=&quot;00A17303&quot;/&gt;&lt;wsp:rsid wsp:val=&quot;00A17A9F&quot;/&gt;&lt;wsp:rsid wsp:val=&quot;00A205BD&quot;/&gt;&lt;wsp:rsid wsp:val=&quot;00A20816&quot;/&gt;&lt;wsp:rsid wsp:val=&quot;00A208C3&quot;/&gt;&lt;wsp:rsid wsp:val=&quot;00A21473&quot;/&gt;&lt;wsp:rsid wsp:val=&quot;00A21CE0&quot;/&gt;&lt;wsp:rsid wsp:val=&quot;00A21EF4&quot;/&gt;&lt;wsp:rsid wsp:val=&quot;00A21F51&quot;/&gt;&lt;wsp:rsid wsp:val=&quot;00A22449&quot;/&gt;&lt;wsp:rsid wsp:val=&quot;00A2292B&quot;/&gt;&lt;wsp:rsid wsp:val=&quot;00A22C2F&quot;/&gt;&lt;wsp:rsid wsp:val=&quot;00A236E6&quot;/&gt;&lt;wsp:rsid wsp:val=&quot;00A23FEE&quot;/&gt;&lt;wsp:rsid wsp:val=&quot;00A24A24&quot;/&gt;&lt;wsp:rsid wsp:val=&quot;00A24F88&quot;/&gt;&lt;wsp:rsid wsp:val=&quot;00A25059&quot;/&gt;&lt;wsp:rsid wsp:val=&quot;00A250A8&quot;/&gt;&lt;wsp:rsid wsp:val=&quot;00A26C0D&quot;/&gt;&lt;wsp:rsid wsp:val=&quot;00A26E23&quot;/&gt;&lt;wsp:rsid wsp:val=&quot;00A26EC9&quot;/&gt;&lt;wsp:rsid wsp:val=&quot;00A27310&quot;/&gt;&lt;wsp:rsid wsp:val=&quot;00A2763A&quot;/&gt;&lt;wsp:rsid wsp:val=&quot;00A27C1C&quot;/&gt;&lt;wsp:rsid wsp:val=&quot;00A27C40&quot;/&gt;&lt;wsp:rsid wsp:val=&quot;00A27D5D&quot;/&gt;&lt;wsp:rsid wsp:val=&quot;00A3080E&quot;/&gt;&lt;wsp:rsid wsp:val=&quot;00A30C43&quot;/&gt;&lt;wsp:rsid wsp:val=&quot;00A30D5A&quot;/&gt;&lt;wsp:rsid wsp:val=&quot;00A30F56&quot;/&gt;&lt;wsp:rsid wsp:val=&quot;00A31055&quot;/&gt;&lt;wsp:rsid wsp:val=&quot;00A315B8&quot;/&gt;&lt;wsp:rsid wsp:val=&quot;00A31D3C&quot;/&gt;&lt;wsp:rsid wsp:val=&quot;00A32157&quot;/&gt;&lt;wsp:rsid wsp:val=&quot;00A3224D&quot;/&gt;&lt;wsp:rsid wsp:val=&quot;00A32306&quot;/&gt;&lt;wsp:rsid wsp:val=&quot;00A32C36&quot;/&gt;&lt;wsp:rsid wsp:val=&quot;00A33E80&quot;/&gt;&lt;wsp:rsid wsp:val=&quot;00A33F02&quot;/&gt;&lt;wsp:rsid wsp:val=&quot;00A33FDA&quot;/&gt;&lt;wsp:rsid wsp:val=&quot;00A3408C&quot;/&gt;&lt;wsp:rsid wsp:val=&quot;00A34127&quot;/&gt;&lt;wsp:rsid wsp:val=&quot;00A352B7&quot;/&gt;&lt;wsp:rsid wsp:val=&quot;00A35631&quot;/&gt;&lt;wsp:rsid wsp:val=&quot;00A35A33&quot;/&gt;&lt;wsp:rsid wsp:val=&quot;00A35B00&quot;/&gt;&lt;wsp:rsid wsp:val=&quot;00A36930&quot;/&gt;&lt;wsp:rsid wsp:val=&quot;00A37047&quot;/&gt;&lt;wsp:rsid wsp:val=&quot;00A37278&quot;/&gt;&lt;wsp:rsid wsp:val=&quot;00A373D4&quot;/&gt;&lt;wsp:rsid wsp:val=&quot;00A37728&quot;/&gt;&lt;wsp:rsid wsp:val=&quot;00A37AC9&quot;/&gt;&lt;wsp:rsid wsp:val=&quot;00A37CFF&quot;/&gt;&lt;wsp:rsid wsp:val=&quot;00A401DA&quot;/&gt;&lt;wsp:rsid wsp:val=&quot;00A40C55&quot;/&gt;&lt;wsp:rsid wsp:val=&quot;00A40FC2&quot;/&gt;&lt;wsp:rsid wsp:val=&quot;00A41382&quot;/&gt;&lt;wsp:rsid wsp:val=&quot;00A41698&quot;/&gt;&lt;wsp:rsid wsp:val=&quot;00A41C21&quot;/&gt;&lt;wsp:rsid wsp:val=&quot;00A421D1&quot;/&gt;&lt;wsp:rsid wsp:val=&quot;00A424AD&quot;/&gt;&lt;wsp:rsid wsp:val=&quot;00A424C6&quot;/&gt;&lt;wsp:rsid wsp:val=&quot;00A428E5&quot;/&gt;&lt;wsp:rsid wsp:val=&quot;00A42B08&quot;/&gt;&lt;wsp:rsid wsp:val=&quot;00A43348&quot;/&gt;&lt;wsp:rsid wsp:val=&quot;00A435C9&quot;/&gt;&lt;wsp:rsid wsp:val=&quot;00A4469E&quot;/&gt;&lt;wsp:rsid wsp:val=&quot;00A44BB5&quot;/&gt;&lt;wsp:rsid wsp:val=&quot;00A44BDC&quot;/&gt;&lt;wsp:rsid wsp:val=&quot;00A44E32&quot;/&gt;&lt;wsp:rsid wsp:val=&quot;00A45A42&quot;/&gt;&lt;wsp:rsid wsp:val=&quot;00A45AB3&quot;/&gt;&lt;wsp:rsid wsp:val=&quot;00A466BD&quot;/&gt;&lt;wsp:rsid wsp:val=&quot;00A5099D&quot;/&gt;&lt;wsp:rsid wsp:val=&quot;00A50C9B&quot;/&gt;&lt;wsp:rsid wsp:val=&quot;00A50D16&quot;/&gt;&lt;wsp:rsid wsp:val=&quot;00A511BA&quot;/&gt;&lt;wsp:rsid wsp:val=&quot;00A518AA&quot;/&gt;&lt;wsp:rsid wsp:val=&quot;00A51C15&quot;/&gt;&lt;wsp:rsid wsp:val=&quot;00A51D0A&quot;/&gt;&lt;wsp:rsid wsp:val=&quot;00A52D88&quot;/&gt;&lt;wsp:rsid wsp:val=&quot;00A533AA&quot;/&gt;&lt;wsp:rsid wsp:val=&quot;00A53585&quot;/&gt;&lt;wsp:rsid wsp:val=&quot;00A536D4&quot;/&gt;&lt;wsp:rsid wsp:val=&quot;00A53D8D&quot;/&gt;&lt;wsp:rsid wsp:val=&quot;00A53F7A&quot;/&gt;&lt;wsp:rsid wsp:val=&quot;00A54080&quot;/&gt;&lt;wsp:rsid wsp:val=&quot;00A544F1&quot;/&gt;&lt;wsp:rsid wsp:val=&quot;00A54B9D&quot;/&gt;&lt;wsp:rsid wsp:val=&quot;00A55683&quot;/&gt;&lt;wsp:rsid wsp:val=&quot;00A560BB&quot;/&gt;&lt;wsp:rsid wsp:val=&quot;00A56385&quot;/&gt;&lt;wsp:rsid wsp:val=&quot;00A5649A&quot;/&gt;&lt;wsp:rsid wsp:val=&quot;00A56897&quot;/&gt;&lt;wsp:rsid wsp:val=&quot;00A56A39&quot;/&gt;&lt;wsp:rsid wsp:val=&quot;00A572E4&quot;/&gt;&lt;wsp:rsid wsp:val=&quot;00A57602&quot;/&gt;&lt;wsp:rsid wsp:val=&quot;00A57762&quot;/&gt;&lt;wsp:rsid wsp:val=&quot;00A577D0&quot;/&gt;&lt;wsp:rsid wsp:val=&quot;00A578AD&quot;/&gt;&lt;wsp:rsid wsp:val=&quot;00A6039F&quot;/&gt;&lt;wsp:rsid wsp:val=&quot;00A60615&quot;/&gt;&lt;wsp:rsid wsp:val=&quot;00A60BF0&quot;/&gt;&lt;wsp:rsid wsp:val=&quot;00A60C80&quot;/&gt;&lt;wsp:rsid wsp:val=&quot;00A61148&quot;/&gt;&lt;wsp:rsid wsp:val=&quot;00A611C6&quot;/&gt;&lt;wsp:rsid wsp:val=&quot;00A61C1A&quot;/&gt;&lt;wsp:rsid wsp:val=&quot;00A622AF&quot;/&gt;&lt;wsp:rsid wsp:val=&quot;00A62460&quot;/&gt;&lt;wsp:rsid wsp:val=&quot;00A624AE&quot;/&gt;&lt;wsp:rsid wsp:val=&quot;00A625EC&quot;/&gt;&lt;wsp:rsid wsp:val=&quot;00A626CB&quot;/&gt;&lt;wsp:rsid wsp:val=&quot;00A627EA&quot;/&gt;&lt;wsp:rsid wsp:val=&quot;00A62E11&quot;/&gt;&lt;wsp:rsid wsp:val=&quot;00A637EE&quot;/&gt;&lt;wsp:rsid wsp:val=&quot;00A64927&quot;/&gt;&lt;wsp:rsid wsp:val=&quot;00A6546D&quot;/&gt;&lt;wsp:rsid wsp:val=&quot;00A65B92&quot;/&gt;&lt;wsp:rsid wsp:val=&quot;00A65BCB&quot;/&gt;&lt;wsp:rsid wsp:val=&quot;00A65C2E&quot;/&gt;&lt;wsp:rsid wsp:val=&quot;00A65DB8&quot;/&gt;&lt;wsp:rsid wsp:val=&quot;00A65E34&quot;/&gt;&lt;wsp:rsid wsp:val=&quot;00A65E40&quot;/&gt;&lt;wsp:rsid wsp:val=&quot;00A660B6&quot;/&gt;&lt;wsp:rsid wsp:val=&quot;00A668A9&quot;/&gt;&lt;wsp:rsid wsp:val=&quot;00A66A5D&quot;/&gt;&lt;wsp:rsid wsp:val=&quot;00A66BDC&quot;/&gt;&lt;wsp:rsid wsp:val=&quot;00A673F2&quot;/&gt;&lt;wsp:rsid wsp:val=&quot;00A67792&quot;/&gt;&lt;wsp:rsid wsp:val=&quot;00A67C65&quot;/&gt;&lt;wsp:rsid wsp:val=&quot;00A70042&quot;/&gt;&lt;wsp:rsid wsp:val=&quot;00A701DA&quot;/&gt;&lt;wsp:rsid wsp:val=&quot;00A706E5&quot;/&gt;&lt;wsp:rsid wsp:val=&quot;00A71513&quot;/&gt;&lt;wsp:rsid wsp:val=&quot;00A717A4&quot;/&gt;&lt;wsp:rsid wsp:val=&quot;00A71EB9&quot;/&gt;&lt;wsp:rsid wsp:val=&quot;00A722FE&quot;/&gt;&lt;wsp:rsid wsp:val=&quot;00A73046&quot;/&gt;&lt;wsp:rsid wsp:val=&quot;00A7323F&quot;/&gt;&lt;wsp:rsid wsp:val=&quot;00A73619&quot;/&gt;&lt;wsp:rsid wsp:val=&quot;00A73975&quot;/&gt;&lt;wsp:rsid wsp:val=&quot;00A73B11&quot;/&gt;&lt;wsp:rsid wsp:val=&quot;00A740A1&quot;/&gt;&lt;wsp:rsid wsp:val=&quot;00A74728&quot;/&gt;&lt;wsp:rsid wsp:val=&quot;00A74E89&quot;/&gt;&lt;wsp:rsid wsp:val=&quot;00A751F8&quot;/&gt;&lt;wsp:rsid wsp:val=&quot;00A7583F&quot;/&gt;&lt;wsp:rsid wsp:val=&quot;00A75968&quot;/&gt;&lt;wsp:rsid wsp:val=&quot;00A75B4C&quot;/&gt;&lt;wsp:rsid wsp:val=&quot;00A75D63&quot;/&gt;&lt;wsp:rsid wsp:val=&quot;00A76FA6&quot;/&gt;&lt;wsp:rsid wsp:val=&quot;00A77581&quot;/&gt;&lt;wsp:rsid wsp:val=&quot;00A77CE9&quot;/&gt;&lt;wsp:rsid wsp:val=&quot;00A77CED&quot;/&gt;&lt;wsp:rsid wsp:val=&quot;00A801C6&quot;/&gt;&lt;wsp:rsid wsp:val=&quot;00A803E6&quot;/&gt;&lt;wsp:rsid wsp:val=&quot;00A80981&quot;/&gt;&lt;wsp:rsid wsp:val=&quot;00A80DF6&quot;/&gt;&lt;wsp:rsid wsp:val=&quot;00A8100D&quot;/&gt;&lt;wsp:rsid wsp:val=&quot;00A81072&quot;/&gt;&lt;wsp:rsid wsp:val=&quot;00A811CE&quot;/&gt;&lt;wsp:rsid wsp:val=&quot;00A813E6&quot;/&gt;&lt;wsp:rsid wsp:val=&quot;00A82977&quot;/&gt;&lt;wsp:rsid wsp:val=&quot;00A840B9&quot;/&gt;&lt;wsp:rsid wsp:val=&quot;00A84819&quot;/&gt;&lt;wsp:rsid wsp:val=&quot;00A8486B&quot;/&gt;&lt;wsp:rsid wsp:val=&quot;00A848D3&quot;/&gt;&lt;wsp:rsid wsp:val=&quot;00A84B9B&quot;/&gt;&lt;wsp:rsid wsp:val=&quot;00A84FD2&quot;/&gt;&lt;wsp:rsid wsp:val=&quot;00A85043&quot;/&gt;&lt;wsp:rsid wsp:val=&quot;00A85243&quot;/&gt;&lt;wsp:rsid wsp:val=&quot;00A86117&quot;/&gt;&lt;wsp:rsid wsp:val=&quot;00A865A1&quot;/&gt;&lt;wsp:rsid wsp:val=&quot;00A86919&quot;/&gt;&lt;wsp:rsid wsp:val=&quot;00A86ABF&quot;/&gt;&lt;wsp:rsid wsp:val=&quot;00A86C38&quot;/&gt;&lt;wsp:rsid wsp:val=&quot;00A86DEF&quot;/&gt;&lt;wsp:rsid wsp:val=&quot;00A86EAA&quot;/&gt;&lt;wsp:rsid wsp:val=&quot;00A873BF&quot;/&gt;&lt;wsp:rsid wsp:val=&quot;00A87E72&quot;/&gt;&lt;wsp:rsid wsp:val=&quot;00A905FA&quot;/&gt;&lt;wsp:rsid wsp:val=&quot;00A90741&quot;/&gt;&lt;wsp:rsid wsp:val=&quot;00A90DA7&quot;/&gt;&lt;wsp:rsid wsp:val=&quot;00A9107C&quot;/&gt;&lt;wsp:rsid wsp:val=&quot;00A9185E&quot;/&gt;&lt;wsp:rsid wsp:val=&quot;00A919A8&quot;/&gt;&lt;wsp:rsid wsp:val=&quot;00A91AE7&quot;/&gt;&lt;wsp:rsid wsp:val=&quot;00A92145&quot;/&gt;&lt;wsp:rsid wsp:val=&quot;00A929FF&quot;/&gt;&lt;wsp:rsid wsp:val=&quot;00A93667&quot;/&gt;&lt;wsp:rsid wsp:val=&quot;00A93DA0&quot;/&gt;&lt;wsp:rsid wsp:val=&quot;00A944FC&quot;/&gt;&lt;wsp:rsid wsp:val=&quot;00A94604&quot;/&gt;&lt;wsp:rsid wsp:val=&quot;00A953DE&quot;/&gt;&lt;wsp:rsid wsp:val=&quot;00A958BE&quot;/&gt;&lt;wsp:rsid wsp:val=&quot;00A95C13&quot;/&gt;&lt;wsp:rsid wsp:val=&quot;00A968A7&quot;/&gt;&lt;wsp:rsid wsp:val=&quot;00A96958&quot;/&gt;&lt;wsp:rsid wsp:val=&quot;00A96A2C&quot;/&gt;&lt;wsp:rsid wsp:val=&quot;00A96C3F&quot;/&gt;&lt;wsp:rsid wsp:val=&quot;00A970BF&quot;/&gt;&lt;wsp:rsid wsp:val=&quot;00A97160&quot;/&gt;&lt;wsp:rsid wsp:val=&quot;00A97351&quot;/&gt;&lt;wsp:rsid wsp:val=&quot;00A97A55&quot;/&gt;&lt;wsp:rsid wsp:val=&quot;00AA03E7&quot;/&gt;&lt;wsp:rsid wsp:val=&quot;00AA08EB&quot;/&gt;&lt;wsp:rsid wsp:val=&quot;00AA0D52&quot;/&gt;&lt;wsp:rsid wsp:val=&quot;00AA11B0&quot;/&gt;&lt;wsp:rsid wsp:val=&quot;00AA17A0&quot;/&gt;&lt;wsp:rsid wsp:val=&quot;00AA186C&quot;/&gt;&lt;wsp:rsid wsp:val=&quot;00AA20DD&quot;/&gt;&lt;wsp:rsid wsp:val=&quot;00AA2C1D&quot;/&gt;&lt;wsp:rsid wsp:val=&quot;00AA2E1D&quot;/&gt;&lt;wsp:rsid wsp:val=&quot;00AA39A1&quot;/&gt;&lt;wsp:rsid wsp:val=&quot;00AA417F&quot;/&gt;&lt;wsp:rsid wsp:val=&quot;00AA49A5&quot;/&gt;&lt;wsp:rsid wsp:val=&quot;00AA4AD3&quot;/&gt;&lt;wsp:rsid wsp:val=&quot;00AA4B6F&quot;/&gt;&lt;wsp:rsid wsp:val=&quot;00AA4E8F&quot;/&gt;&lt;wsp:rsid wsp:val=&quot;00AA51C2&quot;/&gt;&lt;wsp:rsid wsp:val=&quot;00AA637C&quot;/&gt;&lt;wsp:rsid wsp:val=&quot;00AA666C&quot;/&gt;&lt;wsp:rsid wsp:val=&quot;00AA6717&quot;/&gt;&lt;wsp:rsid wsp:val=&quot;00AA6790&quot;/&gt;&lt;wsp:rsid wsp:val=&quot;00AA6F05&quot;/&gt;&lt;wsp:rsid wsp:val=&quot;00AA723B&quot;/&gt;&lt;wsp:rsid wsp:val=&quot;00AA7359&quot;/&gt;&lt;wsp:rsid wsp:val=&quot;00AA78BC&quot;/&gt;&lt;wsp:rsid wsp:val=&quot;00AB0871&quot;/&gt;&lt;wsp:rsid wsp:val=&quot;00AB0EAE&quot;/&gt;&lt;wsp:rsid wsp:val=&quot;00AB1014&quot;/&gt;&lt;wsp:rsid wsp:val=&quot;00AB156B&quot;/&gt;&lt;wsp:rsid wsp:val=&quot;00AB1B98&quot;/&gt;&lt;wsp:rsid wsp:val=&quot;00AB1CAC&quot;/&gt;&lt;wsp:rsid wsp:val=&quot;00AB217C&quot;/&gt;&lt;wsp:rsid wsp:val=&quot;00AB23CC&quot;/&gt;&lt;wsp:rsid wsp:val=&quot;00AB23E1&quot;/&gt;&lt;wsp:rsid wsp:val=&quot;00AB2A5C&quot;/&gt;&lt;wsp:rsid wsp:val=&quot;00AB324C&quot;/&gt;&lt;wsp:rsid wsp:val=&quot;00AB33BF&quot;/&gt;&lt;wsp:rsid wsp:val=&quot;00AB3452&quot;/&gt;&lt;wsp:rsid wsp:val=&quot;00AB34A9&quot;/&gt;&lt;wsp:rsid wsp:val=&quot;00AB38A5&quot;/&gt;&lt;wsp:rsid wsp:val=&quot;00AB3AB9&quot;/&gt;&lt;wsp:rsid wsp:val=&quot;00AB3B82&quot;/&gt;&lt;wsp:rsid wsp:val=&quot;00AB3CE5&quot;/&gt;&lt;wsp:rsid wsp:val=&quot;00AB3E70&quot;/&gt;&lt;wsp:rsid wsp:val=&quot;00AB42CA&quot;/&gt;&lt;wsp:rsid wsp:val=&quot;00AB43C2&quot;/&gt;&lt;wsp:rsid wsp:val=&quot;00AB4E53&quot;/&gt;&lt;wsp:rsid wsp:val=&quot;00AB65EC&quot;/&gt;&lt;wsp:rsid wsp:val=&quot;00AB6EBC&quot;/&gt;&lt;wsp:rsid wsp:val=&quot;00AB7371&quot;/&gt;&lt;wsp:rsid wsp:val=&quot;00AB7AFC&quot;/&gt;&lt;wsp:rsid wsp:val=&quot;00AB7B20&quot;/&gt;&lt;wsp:rsid wsp:val=&quot;00AC081C&quot;/&gt;&lt;wsp:rsid wsp:val=&quot;00AC08DC&quot;/&gt;&lt;wsp:rsid wsp:val=&quot;00AC10D3&quot;/&gt;&lt;wsp:rsid wsp:val=&quot;00AC1CBB&quot;/&gt;&lt;wsp:rsid wsp:val=&quot;00AC1DBE&quot;/&gt;&lt;wsp:rsid wsp:val=&quot;00AC1E0B&quot;/&gt;&lt;wsp:rsid wsp:val=&quot;00AC1ED2&quot;/&gt;&lt;wsp:rsid wsp:val=&quot;00AC1F49&quot;/&gt;&lt;wsp:rsid wsp:val=&quot;00AC20F2&quot;/&gt;&lt;wsp:rsid wsp:val=&quot;00AC3B48&quot;/&gt;&lt;wsp:rsid wsp:val=&quot;00AC4750&quot;/&gt;&lt;wsp:rsid wsp:val=&quot;00AC49CC&quot;/&gt;&lt;wsp:rsid wsp:val=&quot;00AC4AA6&quot;/&gt;&lt;wsp:rsid wsp:val=&quot;00AC4B13&quot;/&gt;&lt;wsp:rsid wsp:val=&quot;00AC518C&quot;/&gt;&lt;wsp:rsid wsp:val=&quot;00AC51D0&quot;/&gt;&lt;wsp:rsid wsp:val=&quot;00AC54EE&quot;/&gt;&lt;wsp:rsid wsp:val=&quot;00AC5F24&quot;/&gt;&lt;wsp:rsid wsp:val=&quot;00AC6835&quot;/&gt;&lt;wsp:rsid wsp:val=&quot;00AC6911&quot;/&gt;&lt;wsp:rsid wsp:val=&quot;00AC6B65&quot;/&gt;&lt;wsp:rsid wsp:val=&quot;00AC763A&quot;/&gt;&lt;wsp:rsid wsp:val=&quot;00AD0AC4&quot;/&gt;&lt;wsp:rsid wsp:val=&quot;00AD1097&quot;/&gt;&lt;wsp:rsid wsp:val=&quot;00AD22A3&quot;/&gt;&lt;wsp:rsid wsp:val=&quot;00AD2630&quot;/&gt;&lt;wsp:rsid wsp:val=&quot;00AD2A5A&quot;/&gt;&lt;wsp:rsid wsp:val=&quot;00AD303C&quot;/&gt;&lt;wsp:rsid wsp:val=&quot;00AD36B3&quot;/&gt;&lt;wsp:rsid wsp:val=&quot;00AD4110&quot;/&gt;&lt;wsp:rsid wsp:val=&quot;00AD50CD&quot;/&gt;&lt;wsp:rsid wsp:val=&quot;00AD614F&quot;/&gt;&lt;wsp:rsid wsp:val=&quot;00AD6361&quot;/&gt;&lt;wsp:rsid wsp:val=&quot;00AD66A7&quot;/&gt;&lt;wsp:rsid wsp:val=&quot;00AD6D1E&quot;/&gt;&lt;wsp:rsid wsp:val=&quot;00AD7169&quot;/&gt;&lt;wsp:rsid wsp:val=&quot;00AE0006&quot;/&gt;&lt;wsp:rsid wsp:val=&quot;00AE00D9&quot;/&gt;&lt;wsp:rsid wsp:val=&quot;00AE0FFF&quot;/&gt;&lt;wsp:rsid wsp:val=&quot;00AE181A&quot;/&gt;&lt;wsp:rsid wsp:val=&quot;00AE1E45&quot;/&gt;&lt;wsp:rsid wsp:val=&quot;00AE1EB9&quot;/&gt;&lt;wsp:rsid wsp:val=&quot;00AE2197&quot;/&gt;&lt;wsp:rsid wsp:val=&quot;00AE2B17&quot;/&gt;&lt;wsp:rsid wsp:val=&quot;00AE3A89&quot;/&gt;&lt;wsp:rsid wsp:val=&quot;00AE3D9C&quot;/&gt;&lt;wsp:rsid wsp:val=&quot;00AE4514&quot;/&gt;&lt;wsp:rsid wsp:val=&quot;00AE51EC&quot;/&gt;&lt;wsp:rsid wsp:val=&quot;00AE5A3E&quot;/&gt;&lt;wsp:rsid wsp:val=&quot;00AE5C55&quot;/&gt;&lt;wsp:rsid wsp:val=&quot;00AE5EF1&quot;/&gt;&lt;wsp:rsid wsp:val=&quot;00AE63D5&quot;/&gt;&lt;wsp:rsid wsp:val=&quot;00AE6686&quot;/&gt;&lt;wsp:rsid wsp:val=&quot;00AE66C6&quot;/&gt;&lt;wsp:rsid wsp:val=&quot;00AE688A&quot;/&gt;&lt;wsp:rsid wsp:val=&quot;00AE76D0&quot;/&gt;&lt;wsp:rsid wsp:val=&quot;00AE7813&quot;/&gt;&lt;wsp:rsid wsp:val=&quot;00AE7B0B&quot;/&gt;&lt;wsp:rsid wsp:val=&quot;00AE7E83&quot;/&gt;&lt;wsp:rsid wsp:val=&quot;00AF0081&quot;/&gt;&lt;wsp:rsid wsp:val=&quot;00AF037D&quot;/&gt;&lt;wsp:rsid wsp:val=&quot;00AF074D&quot;/&gt;&lt;wsp:rsid wsp:val=&quot;00AF13AB&quot;/&gt;&lt;wsp:rsid wsp:val=&quot;00AF1506&quot;/&gt;&lt;wsp:rsid wsp:val=&quot;00AF1649&quot;/&gt;&lt;wsp:rsid wsp:val=&quot;00AF1C83&quot;/&gt;&lt;wsp:rsid wsp:val=&quot;00AF25D6&quot;/&gt;&lt;wsp:rsid wsp:val=&quot;00AF2C5F&quot;/&gt;&lt;wsp:rsid wsp:val=&quot;00AF427C&quot;/&gt;&lt;wsp:rsid wsp:val=&quot;00AF5612&quot;/&gt;&lt;wsp:rsid wsp:val=&quot;00AF5E71&quot;/&gt;&lt;wsp:rsid wsp:val=&quot;00AF687E&quot;/&gt;&lt;wsp:rsid wsp:val=&quot;00AF7468&quot;/&gt;&lt;wsp:rsid wsp:val=&quot;00AF7EB9&quot;/&gt;&lt;wsp:rsid wsp:val=&quot;00B00355&quot;/&gt;&lt;wsp:rsid wsp:val=&quot;00B004D0&quot;/&gt;&lt;wsp:rsid wsp:val=&quot;00B00511&quot;/&gt;&lt;wsp:rsid wsp:val=&quot;00B008D1&quot;/&gt;&lt;wsp:rsid wsp:val=&quot;00B01B30&quot;/&gt;&lt;wsp:rsid wsp:val=&quot;00B020DD&quot;/&gt;&lt;wsp:rsid wsp:val=&quot;00B028F8&quot;/&gt;&lt;wsp:rsid wsp:val=&quot;00B02B92&quot;/&gt;&lt;wsp:rsid wsp:val=&quot;00B02C98&quot;/&gt;&lt;wsp:rsid wsp:val=&quot;00B03543&quot;/&gt;&lt;wsp:rsid wsp:val=&quot;00B03655&quot;/&gt;&lt;wsp:rsid wsp:val=&quot;00B03C3C&quot;/&gt;&lt;wsp:rsid wsp:val=&quot;00B0466B&quot;/&gt;&lt;wsp:rsid wsp:val=&quot;00B04E4B&quot;/&gt;&lt;wsp:rsid wsp:val=&quot;00B05041&quot;/&gt;&lt;wsp:rsid wsp:val=&quot;00B05591&quot;/&gt;&lt;wsp:rsid wsp:val=&quot;00B05FA5&quot;/&gt;&lt;wsp:rsid wsp:val=&quot;00B06677&quot;/&gt;&lt;wsp:rsid wsp:val=&quot;00B06E42&quot;/&gt;&lt;wsp:rsid wsp:val=&quot;00B06EFE&quot;/&gt;&lt;wsp:rsid wsp:val=&quot;00B07547&quot;/&gt;&lt;wsp:rsid wsp:val=&quot;00B077D2&quot;/&gt;&lt;wsp:rsid wsp:val=&quot;00B10CF0&quot;/&gt;&lt;wsp:rsid wsp:val=&quot;00B10FB5&quot;/&gt;&lt;wsp:rsid wsp:val=&quot;00B11540&quot;/&gt;&lt;wsp:rsid wsp:val=&quot;00B11A7E&quot;/&gt;&lt;wsp:rsid wsp:val=&quot;00B11D80&quot;/&gt;&lt;wsp:rsid wsp:val=&quot;00B144BA&quot;/&gt;&lt;wsp:rsid wsp:val=&quot;00B14509&quot;/&gt;&lt;wsp:rsid wsp:val=&quot;00B15697&quot;/&gt;&lt;wsp:rsid wsp:val=&quot;00B15C14&quot;/&gt;&lt;wsp:rsid wsp:val=&quot;00B16077&quot;/&gt;&lt;wsp:rsid wsp:val=&quot;00B163B5&quot;/&gt;&lt;wsp:rsid wsp:val=&quot;00B163E8&quot;/&gt;&lt;wsp:rsid wsp:val=&quot;00B16470&quot;/&gt;&lt;wsp:rsid wsp:val=&quot;00B1649A&quot;/&gt;&lt;wsp:rsid wsp:val=&quot;00B164A3&quot;/&gt;&lt;wsp:rsid wsp:val=&quot;00B16573&quot;/&gt;&lt;wsp:rsid wsp:val=&quot;00B166FC&quot;/&gt;&lt;wsp:rsid wsp:val=&quot;00B16B91&quot;/&gt;&lt;wsp:rsid wsp:val=&quot;00B16E21&quot;/&gt;&lt;wsp:rsid wsp:val=&quot;00B16E39&quot;/&gt;&lt;wsp:rsid wsp:val=&quot;00B16EDC&quot;/&gt;&lt;wsp:rsid wsp:val=&quot;00B17522&quot;/&gt;&lt;wsp:rsid wsp:val=&quot;00B17BC1&quot;/&gt;&lt;wsp:rsid wsp:val=&quot;00B20698&quot;/&gt;&lt;wsp:rsid wsp:val=&quot;00B20C3F&quot;/&gt;&lt;wsp:rsid wsp:val=&quot;00B20F28&quot;/&gt;&lt;wsp:rsid wsp:val=&quot;00B21A8B&quot;/&gt;&lt;wsp:rsid wsp:val=&quot;00B21AAF&quot;/&gt;&lt;wsp:rsid wsp:val=&quot;00B2222D&quot;/&gt;&lt;wsp:rsid wsp:val=&quot;00B22782&quot;/&gt;&lt;wsp:rsid wsp:val=&quot;00B22821&quot;/&gt;&lt;wsp:rsid wsp:val=&quot;00B2292E&quot;/&gt;&lt;wsp:rsid wsp:val=&quot;00B22F5A&quot;/&gt;&lt;wsp:rsid wsp:val=&quot;00B231B4&quot;/&gt;&lt;wsp:rsid wsp:val=&quot;00B23221&quot;/&gt;&lt;wsp:rsid wsp:val=&quot;00B25347&quot;/&gt;&lt;wsp:rsid wsp:val=&quot;00B2556B&quot;/&gt;&lt;wsp:rsid wsp:val=&quot;00B25E0F&quot;/&gt;&lt;wsp:rsid wsp:val=&quot;00B300EE&quot;/&gt;&lt;wsp:rsid wsp:val=&quot;00B305E8&quot;/&gt;&lt;wsp:rsid wsp:val=&quot;00B308CC&quot;/&gt;&lt;wsp:rsid wsp:val=&quot;00B308EB&quot;/&gt;&lt;wsp:rsid wsp:val=&quot;00B30A01&quot;/&gt;&lt;wsp:rsid wsp:val=&quot;00B30C6D&quot;/&gt;&lt;wsp:rsid wsp:val=&quot;00B30CB7&quot;/&gt;&lt;wsp:rsid wsp:val=&quot;00B30E44&quot;/&gt;&lt;wsp:rsid wsp:val=&quot;00B316D7&quot;/&gt;&lt;wsp:rsid wsp:val=&quot;00B318AD&quot;/&gt;&lt;wsp:rsid wsp:val=&quot;00B31BAE&quot;/&gt;&lt;wsp:rsid wsp:val=&quot;00B31BBC&quot;/&gt;&lt;wsp:rsid wsp:val=&quot;00B32413&quot;/&gt;&lt;wsp:rsid wsp:val=&quot;00B32802&quot;/&gt;&lt;wsp:rsid wsp:val=&quot;00B32D08&quot;/&gt;&lt;wsp:rsid wsp:val=&quot;00B331BF&quot;/&gt;&lt;wsp:rsid wsp:val=&quot;00B33265&quot;/&gt;&lt;wsp:rsid wsp:val=&quot;00B33429&quot;/&gt;&lt;wsp:rsid wsp:val=&quot;00B33708&quot;/&gt;&lt;wsp:rsid wsp:val=&quot;00B33F16&quot;/&gt;&lt;wsp:rsid wsp:val=&quot;00B33F24&quot;/&gt;&lt;wsp:rsid wsp:val=&quot;00B33FF1&quot;/&gt;&lt;wsp:rsid wsp:val=&quot;00B35957&quot;/&gt;&lt;wsp:rsid wsp:val=&quot;00B35D5C&quot;/&gt;&lt;wsp:rsid wsp:val=&quot;00B3694E&quot;/&gt;&lt;wsp:rsid wsp:val=&quot;00B36AF0&quot;/&gt;&lt;wsp:rsid wsp:val=&quot;00B37109&quot;/&gt;&lt;wsp:rsid wsp:val=&quot;00B3756F&quot;/&gt;&lt;wsp:rsid wsp:val=&quot;00B37583&quot;/&gt;&lt;wsp:rsid wsp:val=&quot;00B377E4&quot;/&gt;&lt;wsp:rsid wsp:val=&quot;00B40120&quot;/&gt;&lt;wsp:rsid wsp:val=&quot;00B408D3&quot;/&gt;&lt;wsp:rsid wsp:val=&quot;00B40C80&quot;/&gt;&lt;wsp:rsid wsp:val=&quot;00B4169D&quot;/&gt;&lt;wsp:rsid wsp:val=&quot;00B42014&quot;/&gt;&lt;wsp:rsid wsp:val=&quot;00B4283B&quot;/&gt;&lt;wsp:rsid wsp:val=&quot;00B42A88&quot;/&gt;&lt;wsp:rsid wsp:val=&quot;00B42CB1&quot;/&gt;&lt;wsp:rsid wsp:val=&quot;00B42FE7&quot;/&gt;&lt;wsp:rsid wsp:val=&quot;00B434B2&quot;/&gt;&lt;wsp:rsid wsp:val=&quot;00B43DEA&quot;/&gt;&lt;wsp:rsid wsp:val=&quot;00B443A2&quot;/&gt;&lt;wsp:rsid wsp:val=&quot;00B4444D&quot;/&gt;&lt;wsp:rsid wsp:val=&quot;00B444A8&quot;/&gt;&lt;wsp:rsid wsp:val=&quot;00B44924&quot;/&gt;&lt;wsp:rsid wsp:val=&quot;00B449A3&quot;/&gt;&lt;wsp:rsid wsp:val=&quot;00B44AA6&quot;/&gt;&lt;wsp:rsid wsp:val=&quot;00B44C70&quot;/&gt;&lt;wsp:rsid wsp:val=&quot;00B44ECD&quot;/&gt;&lt;wsp:rsid wsp:val=&quot;00B451F1&quot;/&gt;&lt;wsp:rsid wsp:val=&quot;00B45311&quot;/&gt;&lt;wsp:rsid wsp:val=&quot;00B45955&quot;/&gt;&lt;wsp:rsid wsp:val=&quot;00B45C1A&quot;/&gt;&lt;wsp:rsid wsp:val=&quot;00B46222&quot;/&gt;&lt;wsp:rsid wsp:val=&quot;00B46658&quot;/&gt;&lt;wsp:rsid wsp:val=&quot;00B46FEB&quot;/&gt;&lt;wsp:rsid wsp:val=&quot;00B472C8&quot;/&gt;&lt;wsp:rsid wsp:val=&quot;00B47861&quot;/&gt;&lt;wsp:rsid wsp:val=&quot;00B5062F&quot;/&gt;&lt;wsp:rsid wsp:val=&quot;00B50747&quot;/&gt;&lt;wsp:rsid wsp:val=&quot;00B50876&quot;/&gt;&lt;wsp:rsid wsp:val=&quot;00B50B54&quot;/&gt;&lt;wsp:rsid wsp:val=&quot;00B50D1B&quot;/&gt;&lt;wsp:rsid wsp:val=&quot;00B51686&quot;/&gt;&lt;wsp:rsid wsp:val=&quot;00B51BF0&quot;/&gt;&lt;wsp:rsid wsp:val=&quot;00B51DF8&quot;/&gt;&lt;wsp:rsid wsp:val=&quot;00B52F4D&quot;/&gt;&lt;wsp:rsid wsp:val=&quot;00B532F2&quot;/&gt;&lt;wsp:rsid wsp:val=&quot;00B53907&quot;/&gt;&lt;wsp:rsid wsp:val=&quot;00B53AF7&quot;/&gt;&lt;wsp:rsid wsp:val=&quot;00B53EA4&quot;/&gt;&lt;wsp:rsid wsp:val=&quot;00B5426F&quot;/&gt;&lt;wsp:rsid wsp:val=&quot;00B54898&quot;/&gt;&lt;wsp:rsid wsp:val=&quot;00B54CD9&quot;/&gt;&lt;wsp:rsid wsp:val=&quot;00B54E5E&quot;/&gt;&lt;wsp:rsid wsp:val=&quot;00B557FD&quot;/&gt;&lt;wsp:rsid wsp:val=&quot;00B55CB3&quot;/&gt;&lt;wsp:rsid wsp:val=&quot;00B562AB&quot;/&gt;&lt;wsp:rsid wsp:val=&quot;00B56401&quot;/&gt;&lt;wsp:rsid wsp:val=&quot;00B5650E&quot;/&gt;&lt;wsp:rsid wsp:val=&quot;00B5659B&quot;/&gt;&lt;wsp:rsid wsp:val=&quot;00B56673&quot;/&gt;&lt;wsp:rsid wsp:val=&quot;00B5712F&quot;/&gt;&lt;wsp:rsid wsp:val=&quot;00B57A09&quot;/&gt;&lt;wsp:rsid wsp:val=&quot;00B57E06&quot;/&gt;&lt;wsp:rsid wsp:val=&quot;00B60BBC&quot;/&gt;&lt;wsp:rsid wsp:val=&quot;00B60D65&quot;/&gt;&lt;wsp:rsid wsp:val=&quot;00B60FC1&quot;/&gt;&lt;wsp:rsid wsp:val=&quot;00B615CF&quot;/&gt;&lt;wsp:rsid wsp:val=&quot;00B615F4&quot;/&gt;&lt;wsp:rsid wsp:val=&quot;00B61C98&quot;/&gt;&lt;wsp:rsid wsp:val=&quot;00B61DC2&quot;/&gt;&lt;wsp:rsid wsp:val=&quot;00B628F3&quot;/&gt;&lt;wsp:rsid wsp:val=&quot;00B632BF&quot;/&gt;&lt;wsp:rsid wsp:val=&quot;00B64014&quot;/&gt;&lt;wsp:rsid wsp:val=&quot;00B64235&quot;/&gt;&lt;wsp:rsid wsp:val=&quot;00B64759&quot;/&gt;&lt;wsp:rsid wsp:val=&quot;00B64B6A&quot;/&gt;&lt;wsp:rsid wsp:val=&quot;00B650E5&quot;/&gt;&lt;wsp:rsid wsp:val=&quot;00B65251&quot;/&gt;&lt;wsp:rsid wsp:val=&quot;00B65461&quot;/&gt;&lt;wsp:rsid wsp:val=&quot;00B656DF&quot;/&gt;&lt;wsp:rsid wsp:val=&quot;00B657D3&quot;/&gt;&lt;wsp:rsid wsp:val=&quot;00B6705E&quot;/&gt;&lt;wsp:rsid wsp:val=&quot;00B67190&quot;/&gt;&lt;wsp:rsid wsp:val=&quot;00B671BF&quot;/&gt;&lt;wsp:rsid wsp:val=&quot;00B674F3&quot;/&gt;&lt;wsp:rsid wsp:val=&quot;00B678BD&quot;/&gt;&lt;wsp:rsid wsp:val=&quot;00B70070&quot;/&gt;&lt;wsp:rsid wsp:val=&quot;00B70224&quot;/&gt;&lt;wsp:rsid wsp:val=&quot;00B703F4&quot;/&gt;&lt;wsp:rsid wsp:val=&quot;00B711F7&quot;/&gt;&lt;wsp:rsid wsp:val=&quot;00B7244B&quot;/&gt;&lt;wsp:rsid wsp:val=&quot;00B72AE3&quot;/&gt;&lt;wsp:rsid wsp:val=&quot;00B72C58&quot;/&gt;&lt;wsp:rsid wsp:val=&quot;00B72CF1&quot;/&gt;&lt;wsp:rsid wsp:val=&quot;00B732E8&quot;/&gt;&lt;wsp:rsid wsp:val=&quot;00B74050&quot;/&gt;&lt;wsp:rsid wsp:val=&quot;00B748FF&quot;/&gt;&lt;wsp:rsid wsp:val=&quot;00B7499F&quot;/&gt;&lt;wsp:rsid wsp:val=&quot;00B75D73&quot;/&gt;&lt;wsp:rsid wsp:val=&quot;00B75FC8&quot;/&gt;&lt;wsp:rsid wsp:val=&quot;00B75FCA&quot;/&gt;&lt;wsp:rsid wsp:val=&quot;00B764D9&quot;/&gt;&lt;wsp:rsid wsp:val=&quot;00B765E6&quot;/&gt;&lt;wsp:rsid wsp:val=&quot;00B7682E&quot;/&gt;&lt;wsp:rsid wsp:val=&quot;00B7740C&quot;/&gt;&lt;wsp:rsid wsp:val=&quot;00B77621&quot;/&gt;&lt;wsp:rsid wsp:val=&quot;00B77A5D&quot;/&gt;&lt;wsp:rsid wsp:val=&quot;00B77FA5&quot;/&gt;&lt;wsp:rsid wsp:val=&quot;00B80B16&quot;/&gt;&lt;wsp:rsid wsp:val=&quot;00B80FA4&quot;/&gt;&lt;wsp:rsid wsp:val=&quot;00B8103C&quot;/&gt;&lt;wsp:rsid wsp:val=&quot;00B81580&quot;/&gt;&lt;wsp:rsid wsp:val=&quot;00B829DC&quot;/&gt;&lt;wsp:rsid wsp:val=&quot;00B83720&quot;/&gt;&lt;wsp:rsid wsp:val=&quot;00B83DCA&quot;/&gt;&lt;wsp:rsid wsp:val=&quot;00B83EBD&quot;/&gt;&lt;wsp:rsid wsp:val=&quot;00B84A4B&quot;/&gt;&lt;wsp:rsid wsp:val=&quot;00B85D4E&quot;/&gt;&lt;wsp:rsid wsp:val=&quot;00B85F2B&quot;/&gt;&lt;wsp:rsid wsp:val=&quot;00B8632D&quot;/&gt;&lt;wsp:rsid wsp:val=&quot;00B86755&quot;/&gt;&lt;wsp:rsid wsp:val=&quot;00B86CAD&quot;/&gt;&lt;wsp:rsid wsp:val=&quot;00B8742F&quot;/&gt;&lt;wsp:rsid wsp:val=&quot;00B877F3&quot;/&gt;&lt;wsp:rsid wsp:val=&quot;00B9026F&quot;/&gt;&lt;wsp:rsid wsp:val=&quot;00B905D0&quot;/&gt;&lt;wsp:rsid wsp:val=&quot;00B90BFB&quot;/&gt;&lt;wsp:rsid wsp:val=&quot;00B90C32&quot;/&gt;&lt;wsp:rsid wsp:val=&quot;00B91452&quot;/&gt;&lt;wsp:rsid wsp:val=&quot;00B915B6&quot;/&gt;&lt;wsp:rsid wsp:val=&quot;00B91F2E&quot;/&gt;&lt;wsp:rsid wsp:val=&quot;00B91F7B&quot;/&gt;&lt;wsp:rsid wsp:val=&quot;00B923DC&quot;/&gt;&lt;wsp:rsid wsp:val=&quot;00B925CC&quot;/&gt;&lt;wsp:rsid wsp:val=&quot;00B92D0D&quot;/&gt;&lt;wsp:rsid wsp:val=&quot;00B93B80&quot;/&gt;&lt;wsp:rsid wsp:val=&quot;00B93F2F&quot;/&gt;&lt;wsp:rsid wsp:val=&quot;00B94148&quot;/&gt;&lt;wsp:rsid wsp:val=&quot;00B9432A&quot;/&gt;&lt;wsp:rsid wsp:val=&quot;00B949A2&quot;/&gt;&lt;wsp:rsid wsp:val=&quot;00B95338&quot;/&gt;&lt;wsp:rsid wsp:val=&quot;00B953E5&quot;/&gt;&lt;wsp:rsid wsp:val=&quot;00B95689&quot;/&gt;&lt;wsp:rsid wsp:val=&quot;00B957BF&quot;/&gt;&lt;wsp:rsid wsp:val=&quot;00B968E5&quot;/&gt;&lt;wsp:rsid wsp:val=&quot;00B96DFF&quot;/&gt;&lt;wsp:rsid wsp:val=&quot;00B96E03&quot;/&gt;&lt;wsp:rsid wsp:val=&quot;00B979FE&quot;/&gt;&lt;wsp:rsid wsp:val=&quot;00BA030B&quot;/&gt;&lt;wsp:rsid wsp:val=&quot;00BA0855&quot;/&gt;&lt;wsp:rsid wsp:val=&quot;00BA0FBB&quot;/&gt;&lt;wsp:rsid wsp:val=&quot;00BA12BA&quot;/&gt;&lt;wsp:rsid wsp:val=&quot;00BA13E3&quot;/&gt;&lt;wsp:rsid wsp:val=&quot;00BA1D13&quot;/&gt;&lt;wsp:rsid wsp:val=&quot;00BA2A01&quot;/&gt;&lt;wsp:rsid wsp:val=&quot;00BA2C87&quot;/&gt;&lt;wsp:rsid wsp:val=&quot;00BA2CAF&quot;/&gt;&lt;wsp:rsid wsp:val=&quot;00BA3B97&quot;/&gt;&lt;wsp:rsid wsp:val=&quot;00BA3CCA&quot;/&gt;&lt;wsp:rsid wsp:val=&quot;00BA3F07&quot;/&gt;&lt;wsp:rsid wsp:val=&quot;00BA3FA5&quot;/&gt;&lt;wsp:rsid wsp:val=&quot;00BA447E&quot;/&gt;&lt;wsp:rsid wsp:val=&quot;00BA4F1C&quot;/&gt;&lt;wsp:rsid wsp:val=&quot;00BA4F2E&quot;/&gt;&lt;wsp:rsid wsp:val=&quot;00BA52BD&quot;/&gt;&lt;wsp:rsid wsp:val=&quot;00BA58FD&quot;/&gt;&lt;wsp:rsid wsp:val=&quot;00BA5979&quot;/&gt;&lt;wsp:rsid wsp:val=&quot;00BA5B2C&quot;/&gt;&lt;wsp:rsid wsp:val=&quot;00BA5C9E&quot;/&gt;&lt;wsp:rsid wsp:val=&quot;00BA5D9C&quot;/&gt;&lt;wsp:rsid wsp:val=&quot;00BA66C3&quot;/&gt;&lt;wsp:rsid wsp:val=&quot;00BA671C&quot;/&gt;&lt;wsp:rsid wsp:val=&quot;00BB0244&quot;/&gt;&lt;wsp:rsid wsp:val=&quot;00BB0678&quot;/&gt;&lt;wsp:rsid wsp:val=&quot;00BB0B8F&quot;/&gt;&lt;wsp:rsid wsp:val=&quot;00BB0D8A&quot;/&gt;&lt;wsp:rsid wsp:val=&quot;00BB0F89&quot;/&gt;&lt;wsp:rsid wsp:val=&quot;00BB1FF4&quot;/&gt;&lt;wsp:rsid wsp:val=&quot;00BB2448&quot;/&gt;&lt;wsp:rsid wsp:val=&quot;00BB2738&quot;/&gt;&lt;wsp:rsid wsp:val=&quot;00BB2E5C&quot;/&gt;&lt;wsp:rsid wsp:val=&quot;00BB3D7D&quot;/&gt;&lt;wsp:rsid wsp:val=&quot;00BB3FF1&quot;/&gt;&lt;wsp:rsid wsp:val=&quot;00BB447D&quot;/&gt;&lt;wsp:rsid wsp:val=&quot;00BB4721&quot;/&gt;&lt;wsp:rsid wsp:val=&quot;00BB4A5A&quot;/&gt;&lt;wsp:rsid wsp:val=&quot;00BB4F20&quot;/&gt;&lt;wsp:rsid wsp:val=&quot;00BB50F5&quot;/&gt;&lt;wsp:rsid wsp:val=&quot;00BB5198&quot;/&gt;&lt;wsp:rsid wsp:val=&quot;00BB5E36&quot;/&gt;&lt;wsp:rsid wsp:val=&quot;00BB6213&quot;/&gt;&lt;wsp:rsid wsp:val=&quot;00BB6737&quot;/&gt;&lt;wsp:rsid wsp:val=&quot;00BB7089&quot;/&gt;&lt;wsp:rsid wsp:val=&quot;00BB7B98&quot;/&gt;&lt;wsp:rsid wsp:val=&quot;00BC0C63&quot;/&gt;&lt;wsp:rsid wsp:val=&quot;00BC0D57&quot;/&gt;&lt;wsp:rsid wsp:val=&quot;00BC129F&quot;/&gt;&lt;wsp:rsid wsp:val=&quot;00BC15E0&quot;/&gt;&lt;wsp:rsid wsp:val=&quot;00BC18D5&quot;/&gt;&lt;wsp:rsid wsp:val=&quot;00BC1AF1&quot;/&gt;&lt;wsp:rsid wsp:val=&quot;00BC1CB6&quot;/&gt;&lt;wsp:rsid wsp:val=&quot;00BC2AEF&quot;/&gt;&lt;wsp:rsid wsp:val=&quot;00BC2C6E&quot;/&gt;&lt;wsp:rsid wsp:val=&quot;00BC3093&quot;/&gt;&lt;wsp:rsid wsp:val=&quot;00BC34E5&quot;/&gt;&lt;wsp:rsid wsp:val=&quot;00BC49B9&quot;/&gt;&lt;wsp:rsid wsp:val=&quot;00BC4BCA&quot;/&gt;&lt;wsp:rsid wsp:val=&quot;00BC4D8F&quot;/&gt;&lt;wsp:rsid wsp:val=&quot;00BC5095&quot;/&gt;&lt;wsp:rsid wsp:val=&quot;00BC613E&quot;/&gt;&lt;wsp:rsid wsp:val=&quot;00BC6BF9&quot;/&gt;&lt;wsp:rsid wsp:val=&quot;00BC6D44&quot;/&gt;&lt;wsp:rsid wsp:val=&quot;00BC6DAC&quot;/&gt;&lt;wsp:rsid wsp:val=&quot;00BC6E45&quot;/&gt;&lt;wsp:rsid wsp:val=&quot;00BC6F4E&quot;/&gt;&lt;wsp:rsid wsp:val=&quot;00BC7004&quot;/&gt;&lt;wsp:rsid wsp:val=&quot;00BC715C&quot;/&gt;&lt;wsp:rsid wsp:val=&quot;00BC7292&quot;/&gt;&lt;wsp:rsid wsp:val=&quot;00BC7628&quot;/&gt;&lt;wsp:rsid wsp:val=&quot;00BC76C1&quot;/&gt;&lt;wsp:rsid wsp:val=&quot;00BC77E4&quot;/&gt;&lt;wsp:rsid wsp:val=&quot;00BC7D35&quot;/&gt;&lt;wsp:rsid wsp:val=&quot;00BC7EE4&quot;/&gt;&lt;wsp:rsid wsp:val=&quot;00BD0013&quot;/&gt;&lt;wsp:rsid wsp:val=&quot;00BD04A9&quot;/&gt;&lt;wsp:rsid wsp:val=&quot;00BD077C&quot;/&gt;&lt;wsp:rsid wsp:val=&quot;00BD0830&quot;/&gt;&lt;wsp:rsid wsp:val=&quot;00BD13A1&quot;/&gt;&lt;wsp:rsid wsp:val=&quot;00BD14CB&quot;/&gt;&lt;wsp:rsid wsp:val=&quot;00BD1A05&quot;/&gt;&lt;wsp:rsid wsp:val=&quot;00BD1A94&quot;/&gt;&lt;wsp:rsid wsp:val=&quot;00BD1B84&quot;/&gt;&lt;wsp:rsid wsp:val=&quot;00BD2C7A&quot;/&gt;&lt;wsp:rsid wsp:val=&quot;00BD30AD&quot;/&gt;&lt;wsp:rsid wsp:val=&quot;00BD33AE&quot;/&gt;&lt;wsp:rsid wsp:val=&quot;00BD3B1F&quot;/&gt;&lt;wsp:rsid wsp:val=&quot;00BD3D73&quot;/&gt;&lt;wsp:rsid wsp:val=&quot;00BD3FCD&quot;/&gt;&lt;wsp:rsid wsp:val=&quot;00BD4033&quot;/&gt;&lt;wsp:rsid wsp:val=&quot;00BD45F4&quot;/&gt;&lt;wsp:rsid wsp:val=&quot;00BD46F9&quot;/&gt;&lt;wsp:rsid wsp:val=&quot;00BD4D07&quot;/&gt;&lt;wsp:rsid wsp:val=&quot;00BD510E&quot;/&gt;&lt;wsp:rsid wsp:val=&quot;00BD523A&quot;/&gt;&lt;wsp:rsid wsp:val=&quot;00BD65BF&quot;/&gt;&lt;wsp:rsid wsp:val=&quot;00BD6BFC&quot;/&gt;&lt;wsp:rsid wsp:val=&quot;00BD70D0&quot;/&gt;&lt;wsp:rsid wsp:val=&quot;00BD76A1&quot;/&gt;&lt;wsp:rsid wsp:val=&quot;00BD7946&quot;/&gt;&lt;wsp:rsid wsp:val=&quot;00BD7E35&quot;/&gt;&lt;wsp:rsid wsp:val=&quot;00BE0411&quot;/&gt;&lt;wsp:rsid wsp:val=&quot;00BE1993&quot;/&gt;&lt;wsp:rsid wsp:val=&quot;00BE1B16&quot;/&gt;&lt;wsp:rsid wsp:val=&quot;00BE1D57&quot;/&gt;&lt;wsp:rsid wsp:val=&quot;00BE223C&quot;/&gt;&lt;wsp:rsid wsp:val=&quot;00BE2B67&quot;/&gt;&lt;wsp:rsid wsp:val=&quot;00BE2E0C&quot;/&gt;&lt;wsp:rsid wsp:val=&quot;00BE3177&quot;/&gt;&lt;wsp:rsid wsp:val=&quot;00BE3363&quot;/&gt;&lt;wsp:rsid wsp:val=&quot;00BE3644&quot;/&gt;&lt;wsp:rsid wsp:val=&quot;00BE3ADE&quot;/&gt;&lt;wsp:rsid wsp:val=&quot;00BE3B37&quot;/&gt;&lt;wsp:rsid wsp:val=&quot;00BE4DE9&quot;/&gt;&lt;wsp:rsid wsp:val=&quot;00BE4E47&quot;/&gt;&lt;wsp:rsid wsp:val=&quot;00BE4E6D&quot;/&gt;&lt;wsp:rsid wsp:val=&quot;00BE55E5&quot;/&gt;&lt;wsp:rsid wsp:val=&quot;00BE61C9&quot;/&gt;&lt;wsp:rsid wsp:val=&quot;00BE63DD&quot;/&gt;&lt;wsp:rsid wsp:val=&quot;00BE6B0C&quot;/&gt;&lt;wsp:rsid wsp:val=&quot;00BE6D60&quot;/&gt;&lt;wsp:rsid wsp:val=&quot;00BE7D48&quot;/&gt;&lt;wsp:rsid wsp:val=&quot;00BE7DB0&quot;/&gt;&lt;wsp:rsid wsp:val=&quot;00BE7E14&quot;/&gt;&lt;wsp:rsid wsp:val=&quot;00BF07E0&quot;/&gt;&lt;wsp:rsid wsp:val=&quot;00BF09A1&quot;/&gt;&lt;wsp:rsid wsp:val=&quot;00BF0AA2&quot;/&gt;&lt;wsp:rsid wsp:val=&quot;00BF143A&quot;/&gt;&lt;wsp:rsid wsp:val=&quot;00BF1809&quot;/&gt;&lt;wsp:rsid wsp:val=&quot;00BF18B7&quot;/&gt;&lt;wsp:rsid wsp:val=&quot;00BF27B4&quot;/&gt;&lt;wsp:rsid wsp:val=&quot;00BF3AE4&quot;/&gt;&lt;wsp:rsid wsp:val=&quot;00BF3EE8&quot;/&gt;&lt;wsp:rsid wsp:val=&quot;00BF40FE&quot;/&gt;&lt;wsp:rsid wsp:val=&quot;00BF4C6C&quot;/&gt;&lt;wsp:rsid wsp:val=&quot;00BF4C93&quot;/&gt;&lt;wsp:rsid wsp:val=&quot;00BF506F&quot;/&gt;&lt;wsp:rsid wsp:val=&quot;00BF5105&quot;/&gt;&lt;wsp:rsid wsp:val=&quot;00BF54F0&quot;/&gt;&lt;wsp:rsid wsp:val=&quot;00BF5604&quot;/&gt;&lt;wsp:rsid wsp:val=&quot;00BF56AC&quot;/&gt;&lt;wsp:rsid wsp:val=&quot;00BF5754&quot;/&gt;&lt;wsp:rsid wsp:val=&quot;00BF61B3&quot;/&gt;&lt;wsp:rsid wsp:val=&quot;00BF6243&quot;/&gt;&lt;wsp:rsid wsp:val=&quot;00BF6761&quot;/&gt;&lt;wsp:rsid wsp:val=&quot;00BF7176&quot;/&gt;&lt;wsp:rsid wsp:val=&quot;00BF79AE&quot;/&gt;&lt;wsp:rsid wsp:val=&quot;00C00F71&quot;/&gt;&lt;wsp:rsid wsp:val=&quot;00C01176&quot;/&gt;&lt;wsp:rsid wsp:val=&quot;00C012DA&quot;/&gt;&lt;wsp:rsid wsp:val=&quot;00C016CD&quot;/&gt;&lt;wsp:rsid wsp:val=&quot;00C01BE3&quot;/&gt;&lt;wsp:rsid wsp:val=&quot;00C0288A&quot;/&gt;&lt;wsp:rsid wsp:val=&quot;00C02DE4&quot;/&gt;&lt;wsp:rsid wsp:val=&quot;00C03004&quot;/&gt;&lt;wsp:rsid wsp:val=&quot;00C03C6B&quot;/&gt;&lt;wsp:rsid wsp:val=&quot;00C0423A&quot;/&gt;&lt;wsp:rsid wsp:val=&quot;00C04535&quot;/&gt;&lt;wsp:rsid wsp:val=&quot;00C04732&quot;/&gt;&lt;wsp:rsid wsp:val=&quot;00C04886&quot;/&gt;&lt;wsp:rsid wsp:val=&quot;00C049D3&quot;/&gt;&lt;wsp:rsid wsp:val=&quot;00C04C80&quot;/&gt;&lt;wsp:rsid wsp:val=&quot;00C0506E&quot;/&gt;&lt;wsp:rsid wsp:val=&quot;00C057E6&quot;/&gt;&lt;wsp:rsid wsp:val=&quot;00C058AB&quot;/&gt;&lt;wsp:rsid wsp:val=&quot;00C058E7&quot;/&gt;&lt;wsp:rsid wsp:val=&quot;00C05EFD&quot;/&gt;&lt;wsp:rsid wsp:val=&quot;00C0646C&quot;/&gt;&lt;wsp:rsid wsp:val=&quot;00C0660A&quot;/&gt;&lt;wsp:rsid wsp:val=&quot;00C069CE&quot;/&gt;&lt;wsp:rsid wsp:val=&quot;00C06F52&quot;/&gt;&lt;wsp:rsid wsp:val=&quot;00C0714A&quot;/&gt;&lt;wsp:rsid wsp:val=&quot;00C10FA0&quot;/&gt;&lt;wsp:rsid wsp:val=&quot;00C1103C&quot;/&gt;&lt;wsp:rsid wsp:val=&quot;00C113D7&quot;/&gt;&lt;wsp:rsid wsp:val=&quot;00C11440&quot;/&gt;&lt;wsp:rsid wsp:val=&quot;00C11B28&quot;/&gt;&lt;wsp:rsid wsp:val=&quot;00C11C37&quot;/&gt;&lt;wsp:rsid wsp:val=&quot;00C12169&quot;/&gt;&lt;wsp:rsid wsp:val=&quot;00C12E17&quot;/&gt;&lt;wsp:rsid wsp:val=&quot;00C13801&quot;/&gt;&lt;wsp:rsid wsp:val=&quot;00C13937&quot;/&gt;&lt;wsp:rsid wsp:val=&quot;00C13FC9&quot;/&gt;&lt;wsp:rsid wsp:val=&quot;00C148A4&quot;/&gt;&lt;wsp:rsid wsp:val=&quot;00C152E2&quot;/&gt;&lt;wsp:rsid wsp:val=&quot;00C154E9&quot;/&gt;&lt;wsp:rsid wsp:val=&quot;00C15BFB&quot;/&gt;&lt;wsp:rsid wsp:val=&quot;00C15F94&quot;/&gt;&lt;wsp:rsid wsp:val=&quot;00C161B3&quot;/&gt;&lt;wsp:rsid wsp:val=&quot;00C16304&quot;/&gt;&lt;wsp:rsid wsp:val=&quot;00C163BD&quot;/&gt;&lt;wsp:rsid wsp:val=&quot;00C16664&quot;/&gt;&lt;wsp:rsid wsp:val=&quot;00C16870&quot;/&gt;&lt;wsp:rsid wsp:val=&quot;00C1699B&quot;/&gt;&lt;wsp:rsid wsp:val=&quot;00C1714F&quot;/&gt;&lt;wsp:rsid wsp:val=&quot;00C17423&quot;/&gt;&lt;wsp:rsid wsp:val=&quot;00C17546&quot;/&gt;&lt;wsp:rsid wsp:val=&quot;00C176BE&quot;/&gt;&lt;wsp:rsid wsp:val=&quot;00C20302&quot;/&gt;&lt;wsp:rsid wsp:val=&quot;00C20679&quot;/&gt;&lt;wsp:rsid wsp:val=&quot;00C216AD&quot;/&gt;&lt;wsp:rsid wsp:val=&quot;00C21F56&quot;/&gt;&lt;wsp:rsid wsp:val=&quot;00C220F4&quot;/&gt;&lt;wsp:rsid wsp:val=&quot;00C22118&quot;/&gt;&lt;wsp:rsid wsp:val=&quot;00C2238D&quot;/&gt;&lt;wsp:rsid wsp:val=&quot;00C22657&quot;/&gt;&lt;wsp:rsid wsp:val=&quot;00C22808&quot;/&gt;&lt;wsp:rsid wsp:val=&quot;00C2287C&quot;/&gt;&lt;wsp:rsid wsp:val=&quot;00C228ED&quot;/&gt;&lt;wsp:rsid wsp:val=&quot;00C22B11&quot;/&gt;&lt;wsp:rsid wsp:val=&quot;00C22FEA&quot;/&gt;&lt;wsp:rsid wsp:val=&quot;00C230A8&quot;/&gt;&lt;wsp:rsid wsp:val=&quot;00C23263&quot;/&gt;&lt;wsp:rsid wsp:val=&quot;00C23828&quot;/&gt;&lt;wsp:rsid wsp:val=&quot;00C23DCA&quot;/&gt;&lt;wsp:rsid wsp:val=&quot;00C248F1&quot;/&gt;&lt;wsp:rsid wsp:val=&quot;00C25591&quot;/&gt;&lt;wsp:rsid wsp:val=&quot;00C25E43&quot;/&gt;&lt;wsp:rsid wsp:val=&quot;00C25EC4&quot;/&gt;&lt;wsp:rsid wsp:val=&quot;00C2624D&quot;/&gt;&lt;wsp:rsid wsp:val=&quot;00C2656C&quot;/&gt;&lt;wsp:rsid wsp:val=&quot;00C26E2D&quot;/&gt;&lt;wsp:rsid wsp:val=&quot;00C2739F&quot;/&gt;&lt;wsp:rsid wsp:val=&quot;00C27650&quot;/&gt;&lt;wsp:rsid wsp:val=&quot;00C27709&quot;/&gt;&lt;wsp:rsid wsp:val=&quot;00C30067&quot;/&gt;&lt;wsp:rsid wsp:val=&quot;00C300C9&quot;/&gt;&lt;wsp:rsid wsp:val=&quot;00C301D9&quot;/&gt;&lt;wsp:rsid wsp:val=&quot;00C30221&quot;/&gt;&lt;wsp:rsid wsp:val=&quot;00C3059D&quot;/&gt;&lt;wsp:rsid wsp:val=&quot;00C30718&quot;/&gt;&lt;wsp:rsid wsp:val=&quot;00C30DDC&quot;/&gt;&lt;wsp:rsid wsp:val=&quot;00C31B9F&quot;/&gt;&lt;wsp:rsid wsp:val=&quot;00C328DD&quot;/&gt;&lt;wsp:rsid wsp:val=&quot;00C32BC0&quot;/&gt;&lt;wsp:rsid wsp:val=&quot;00C33233&quot;/&gt;&lt;wsp:rsid wsp:val=&quot;00C3329C&quot;/&gt;&lt;wsp:rsid wsp:val=&quot;00C357FD&quot;/&gt;&lt;wsp:rsid wsp:val=&quot;00C3581D&quot;/&gt;&lt;wsp:rsid wsp:val=&quot;00C35C27&quot;/&gt;&lt;wsp:rsid wsp:val=&quot;00C35F60&quot;/&gt;&lt;wsp:rsid wsp:val=&quot;00C36690&quot;/&gt;&lt;wsp:rsid wsp:val=&quot;00C368C5&quot;/&gt;&lt;wsp:rsid wsp:val=&quot;00C37A02&quot;/&gt;&lt;wsp:rsid wsp:val=&quot;00C401F3&quot;/&gt;&lt;wsp:rsid wsp:val=&quot;00C4058D&quot;/&gt;&lt;wsp:rsid wsp:val=&quot;00C4154A&quot;/&gt;&lt;wsp:rsid wsp:val=&quot;00C41836&quot;/&gt;&lt;wsp:rsid wsp:val=&quot;00C41C38&quot;/&gt;&lt;wsp:rsid wsp:val=&quot;00C427FA&quot;/&gt;&lt;wsp:rsid wsp:val=&quot;00C42DC9&quot;/&gt;&lt;wsp:rsid wsp:val=&quot;00C42F0D&quot;/&gt;&lt;wsp:rsid wsp:val=&quot;00C43455&quot;/&gt;&lt;wsp:rsid wsp:val=&quot;00C435C5&quot;/&gt;&lt;wsp:rsid wsp:val=&quot;00C4372E&quot;/&gt;&lt;wsp:rsid wsp:val=&quot;00C43B21&quot;/&gt;&lt;wsp:rsid wsp:val=&quot;00C43EA3&quot;/&gt;&lt;wsp:rsid wsp:val=&quot;00C446A7&quot;/&gt;&lt;wsp:rsid wsp:val=&quot;00C44784&quot;/&gt;&lt;wsp:rsid wsp:val=&quot;00C44B8C&quot;/&gt;&lt;wsp:rsid wsp:val=&quot;00C44CEE&quot;/&gt;&lt;wsp:rsid wsp:val=&quot;00C452A5&quot;/&gt;&lt;wsp:rsid wsp:val=&quot;00C4548C&quot;/&gt;&lt;wsp:rsid wsp:val=&quot;00C4557E&quot;/&gt;&lt;wsp:rsid wsp:val=&quot;00C458E4&quot;/&gt;&lt;wsp:rsid wsp:val=&quot;00C45DFF&quot;/&gt;&lt;wsp:rsid wsp:val=&quot;00C464F4&quot;/&gt;&lt;wsp:rsid wsp:val=&quot;00C468E0&quot;/&gt;&lt;wsp:rsid wsp:val=&quot;00C46ACE&quot;/&gt;&lt;wsp:rsid wsp:val=&quot;00C46B12&quot;/&gt;&lt;wsp:rsid wsp:val=&quot;00C4785F&quot;/&gt;&lt;wsp:rsid wsp:val=&quot;00C47A8F&quot;/&gt;&lt;wsp:rsid wsp:val=&quot;00C500FB&quot;/&gt;&lt;wsp:rsid wsp:val=&quot;00C503AD&quot;/&gt;&lt;wsp:rsid wsp:val=&quot;00C50D3E&quot;/&gt;&lt;wsp:rsid wsp:val=&quot;00C50D6A&quot;/&gt;&lt;wsp:rsid wsp:val=&quot;00C52226&quot;/&gt;&lt;wsp:rsid wsp:val=&quot;00C52526&quot;/&gt;&lt;wsp:rsid wsp:val=&quot;00C52855&quot;/&gt;&lt;wsp:rsid wsp:val=&quot;00C53B36&quot;/&gt;&lt;wsp:rsid wsp:val=&quot;00C53C9A&quot;/&gt;&lt;wsp:rsid wsp:val=&quot;00C53DD2&quot;/&gt;&lt;wsp:rsid wsp:val=&quot;00C540F7&quot;/&gt;&lt;wsp:rsid wsp:val=&quot;00C5446B&quot;/&gt;&lt;wsp:rsid wsp:val=&quot;00C54B2C&quot;/&gt;&lt;wsp:rsid wsp:val=&quot;00C54F24&quot;/&gt;&lt;wsp:rsid wsp:val=&quot;00C5515F&quot;/&gt;&lt;wsp:rsid wsp:val=&quot;00C554AE&quot;/&gt;&lt;wsp:rsid wsp:val=&quot;00C56BB3&quot;/&gt;&lt;wsp:rsid wsp:val=&quot;00C56E6D&quot;/&gt;&lt;wsp:rsid wsp:val=&quot;00C576EB&quot;/&gt;&lt;wsp:rsid wsp:val=&quot;00C57743&quot;/&gt;&lt;wsp:rsid wsp:val=&quot;00C6028C&quot;/&gt;&lt;wsp:rsid wsp:val=&quot;00C6034D&quot;/&gt;&lt;wsp:rsid wsp:val=&quot;00C6092C&quot;/&gt;&lt;wsp:rsid wsp:val=&quot;00C613BB&quot;/&gt;&lt;wsp:rsid wsp:val=&quot;00C6166F&quot;/&gt;&lt;wsp:rsid wsp:val=&quot;00C61AD6&quot;/&gt;&lt;wsp:rsid wsp:val=&quot;00C61D32&quot;/&gt;&lt;wsp:rsid wsp:val=&quot;00C62109&quot;/&gt;&lt;wsp:rsid wsp:val=&quot;00C627FB&quot;/&gt;&lt;wsp:rsid wsp:val=&quot;00C62E03&quot;/&gt;&lt;wsp:rsid wsp:val=&quot;00C63002&quot;/&gt;&lt;wsp:rsid wsp:val=&quot;00C630D2&quot;/&gt;&lt;wsp:rsid wsp:val=&quot;00C631ED&quot;/&gt;&lt;wsp:rsid wsp:val=&quot;00C64C4B&quot;/&gt;&lt;wsp:rsid wsp:val=&quot;00C656C4&quot;/&gt;&lt;wsp:rsid wsp:val=&quot;00C66127&quot;/&gt;&lt;wsp:rsid wsp:val=&quot;00C663D7&quot;/&gt;&lt;wsp:rsid wsp:val=&quot;00C66530&quot;/&gt;&lt;wsp:rsid wsp:val=&quot;00C66642&quot;/&gt;&lt;wsp:rsid wsp:val=&quot;00C6667F&quot;/&gt;&lt;wsp:rsid wsp:val=&quot;00C66860&quot;/&gt;&lt;wsp:rsid wsp:val=&quot;00C66B06&quot;/&gt;&lt;wsp:rsid wsp:val=&quot;00C66F72&quot;/&gt;&lt;wsp:rsid wsp:val=&quot;00C67119&quot;/&gt;&lt;wsp:rsid wsp:val=&quot;00C67AEC&quot;/&gt;&lt;wsp:rsid wsp:val=&quot;00C67D9A&quot;/&gt;&lt;wsp:rsid wsp:val=&quot;00C70041&quot;/&gt;&lt;wsp:rsid wsp:val=&quot;00C709E5&quot;/&gt;&lt;wsp:rsid wsp:val=&quot;00C70B4B&quot;/&gt;&lt;wsp:rsid wsp:val=&quot;00C70F72&quot;/&gt;&lt;wsp:rsid wsp:val=&quot;00C7182A&quot;/&gt;&lt;wsp:rsid wsp:val=&quot;00C71D01&quot;/&gt;&lt;wsp:rsid wsp:val=&quot;00C71E10&quot;/&gt;&lt;wsp:rsid wsp:val=&quot;00C72661&quot;/&gt;&lt;wsp:rsid wsp:val=&quot;00C72E34&quot;/&gt;&lt;wsp:rsid wsp:val=&quot;00C73A54&quot;/&gt;&lt;wsp:rsid wsp:val=&quot;00C73C9D&quot;/&gt;&lt;wsp:rsid wsp:val=&quot;00C73D64&quot;/&gt;&lt;wsp:rsid wsp:val=&quot;00C74208&quot;/&gt;&lt;wsp:rsid wsp:val=&quot;00C743BF&quot;/&gt;&lt;wsp:rsid wsp:val=&quot;00C745C8&quot;/&gt;&lt;wsp:rsid wsp:val=&quot;00C74CFB&quot;/&gt;&lt;wsp:rsid wsp:val=&quot;00C75456&quot;/&gt;&lt;wsp:rsid wsp:val=&quot;00C761D7&quot;/&gt;&lt;wsp:rsid wsp:val=&quot;00C76791&quot;/&gt;&lt;wsp:rsid wsp:val=&quot;00C76EC5&quot;/&gt;&lt;wsp:rsid wsp:val=&quot;00C77850&quot;/&gt;&lt;wsp:rsid wsp:val=&quot;00C77AF7&quot;/&gt;&lt;wsp:rsid wsp:val=&quot;00C80563&quot;/&gt;&lt;wsp:rsid wsp:val=&quot;00C8112D&quot;/&gt;&lt;wsp:rsid wsp:val=&quot;00C81BEC&quot;/&gt;&lt;wsp:rsid wsp:val=&quot;00C8254B&quot;/&gt;&lt;wsp:rsid wsp:val=&quot;00C832AC&quot;/&gt;&lt;wsp:rsid wsp:val=&quot;00C835A8&quot;/&gt;&lt;wsp:rsid wsp:val=&quot;00C837DE&quot;/&gt;&lt;wsp:rsid wsp:val=&quot;00C83901&quot;/&gt;&lt;wsp:rsid wsp:val=&quot;00C83D63&quot;/&gt;&lt;wsp:rsid wsp:val=&quot;00C84CAB&quot;/&gt;&lt;wsp:rsid wsp:val=&quot;00C856CD&quot;/&gt;&lt;wsp:rsid wsp:val=&quot;00C8581A&quot;/&gt;&lt;wsp:rsid wsp:val=&quot;00C85C41&quot;/&gt;&lt;wsp:rsid wsp:val=&quot;00C8643B&quot;/&gt;&lt;wsp:rsid wsp:val=&quot;00C86618&quot;/&gt;&lt;wsp:rsid wsp:val=&quot;00C87055&quot;/&gt;&lt;wsp:rsid wsp:val=&quot;00C87289&quot;/&gt;&lt;wsp:rsid wsp:val=&quot;00C87CB2&quot;/&gt;&lt;wsp:rsid wsp:val=&quot;00C90AAB&quot;/&gt;&lt;wsp:rsid wsp:val=&quot;00C91235&quot;/&gt;&lt;wsp:rsid wsp:val=&quot;00C9128A&quot;/&gt;&lt;wsp:rsid wsp:val=&quot;00C912AB&quot;/&gt;&lt;wsp:rsid wsp:val=&quot;00C92307&quot;/&gt;&lt;wsp:rsid wsp:val=&quot;00C92738&quot;/&gt;&lt;wsp:rsid wsp:val=&quot;00C92C3D&quot;/&gt;&lt;wsp:rsid wsp:val=&quot;00C92FFD&quot;/&gt;&lt;wsp:rsid wsp:val=&quot;00C93BAB&quot;/&gt;&lt;wsp:rsid wsp:val=&quot;00C93DCF&quot;/&gt;&lt;wsp:rsid wsp:val=&quot;00C94285&quot;/&gt;&lt;wsp:rsid wsp:val=&quot;00C9472E&quot;/&gt;&lt;wsp:rsid wsp:val=&quot;00C94E81&quot;/&gt;&lt;wsp:rsid wsp:val=&quot;00C9515E&quot;/&gt;&lt;wsp:rsid wsp:val=&quot;00C96040&quot;/&gt;&lt;wsp:rsid wsp:val=&quot;00C9613F&quot;/&gt;&lt;wsp:rsid wsp:val=&quot;00C96384&quot;/&gt;&lt;wsp:rsid wsp:val=&quot;00C967A7&quot;/&gt;&lt;wsp:rsid wsp:val=&quot;00C96CDA&quot;/&gt;&lt;wsp:rsid wsp:val=&quot;00C974A2&quot;/&gt;&lt;wsp:rsid wsp:val=&quot;00CA1196&quot;/&gt;&lt;wsp:rsid wsp:val=&quot;00CA1436&quot;/&gt;&lt;wsp:rsid wsp:val=&quot;00CA14F8&quot;/&gt;&lt;wsp:rsid wsp:val=&quot;00CA1999&quot;/&gt;&lt;wsp:rsid wsp:val=&quot;00CA1D4E&quot;/&gt;&lt;wsp:rsid wsp:val=&quot;00CA1DF6&quot;/&gt;&lt;wsp:rsid wsp:val=&quot;00CA220A&quot;/&gt;&lt;wsp:rsid wsp:val=&quot;00CA3708&quot;/&gt;&lt;wsp:rsid wsp:val=&quot;00CA3E0A&quot;/&gt;&lt;wsp:rsid wsp:val=&quot;00CA3E32&quot;/&gt;&lt;wsp:rsid wsp:val=&quot;00CA4068&quot;/&gt;&lt;wsp:rsid wsp:val=&quot;00CA4DD8&quot;/&gt;&lt;wsp:rsid wsp:val=&quot;00CA53A6&quot;/&gt;&lt;wsp:rsid wsp:val=&quot;00CA621B&quot;/&gt;&lt;wsp:rsid wsp:val=&quot;00CA6EBD&quot;/&gt;&lt;wsp:rsid wsp:val=&quot;00CB0197&quot;/&gt;&lt;wsp:rsid wsp:val=&quot;00CB0D5F&quot;/&gt;&lt;wsp:rsid wsp:val=&quot;00CB0E86&quot;/&gt;&lt;wsp:rsid wsp:val=&quot;00CB1251&quot;/&gt;&lt;wsp:rsid wsp:val=&quot;00CB12BA&quot;/&gt;&lt;wsp:rsid wsp:val=&quot;00CB17DA&quot;/&gt;&lt;wsp:rsid wsp:val=&quot;00CB2308&quot;/&gt;&lt;wsp:rsid wsp:val=&quot;00CB2518&quot;/&gt;&lt;wsp:rsid wsp:val=&quot;00CB366E&quot;/&gt;&lt;wsp:rsid wsp:val=&quot;00CB3C76&quot;/&gt;&lt;wsp:rsid wsp:val=&quot;00CB467C&quot;/&gt;&lt;wsp:rsid wsp:val=&quot;00CB4F1F&quot;/&gt;&lt;wsp:rsid wsp:val=&quot;00CB5331&quot;/&gt;&lt;wsp:rsid wsp:val=&quot;00CB65F0&quot;/&gt;&lt;wsp:rsid wsp:val=&quot;00CB6E33&quot;/&gt;&lt;wsp:rsid wsp:val=&quot;00CB77A9&quot;/&gt;&lt;wsp:rsid wsp:val=&quot;00CB7B4D&quot;/&gt;&lt;wsp:rsid wsp:val=&quot;00CC06A8&quot;/&gt;&lt;wsp:rsid wsp:val=&quot;00CC0EA2&quot;/&gt;&lt;wsp:rsid wsp:val=&quot;00CC12B1&quot;/&gt;&lt;wsp:rsid wsp:val=&quot;00CC18F0&quot;/&gt;&lt;wsp:rsid wsp:val=&quot;00CC1F77&quot;/&gt;&lt;wsp:rsid wsp:val=&quot;00CC244A&quot;/&gt;&lt;wsp:rsid wsp:val=&quot;00CC2D21&quot;/&gt;&lt;wsp:rsid wsp:val=&quot;00CC34F4&quot;/&gt;&lt;wsp:rsid wsp:val=&quot;00CC38CD&quot;/&gt;&lt;wsp:rsid wsp:val=&quot;00CC41D3&quot;/&gt;&lt;wsp:rsid wsp:val=&quot;00CC435D&quot;/&gt;&lt;wsp:rsid wsp:val=&quot;00CC4649&quot;/&gt;&lt;wsp:rsid wsp:val=&quot;00CC468E&quot;/&gt;&lt;wsp:rsid wsp:val=&quot;00CC4960&quot;/&gt;&lt;wsp:rsid wsp:val=&quot;00CC4B6A&quot;/&gt;&lt;wsp:rsid wsp:val=&quot;00CC4DBD&quot;/&gt;&lt;wsp:rsid wsp:val=&quot;00CC5528&quot;/&gt;&lt;wsp:rsid wsp:val=&quot;00CC575F&quot;/&gt;&lt;wsp:rsid wsp:val=&quot;00CC5D2D&quot;/&gt;&lt;wsp:rsid wsp:val=&quot;00CC6262&quot;/&gt;&lt;wsp:rsid wsp:val=&quot;00CC6371&quot;/&gt;&lt;wsp:rsid wsp:val=&quot;00CC64E3&quot;/&gt;&lt;wsp:rsid wsp:val=&quot;00CC70F2&quot;/&gt;&lt;wsp:rsid wsp:val=&quot;00CC7255&quot;/&gt;&lt;wsp:rsid wsp:val=&quot;00CC7270&quot;/&gt;&lt;wsp:rsid wsp:val=&quot;00CC72E0&quot;/&gt;&lt;wsp:rsid wsp:val=&quot;00CC7F12&quot;/&gt;&lt;wsp:rsid wsp:val=&quot;00CD097D&quot;/&gt;&lt;wsp:rsid wsp:val=&quot;00CD0C65&quot;/&gt;&lt;wsp:rsid wsp:val=&quot;00CD1588&quot;/&gt;&lt;wsp:rsid wsp:val=&quot;00CD1D34&quot;/&gt;&lt;wsp:rsid wsp:val=&quot;00CD202B&quot;/&gt;&lt;wsp:rsid wsp:val=&quot;00CD244F&quot;/&gt;&lt;wsp:rsid wsp:val=&quot;00CD2799&quot;/&gt;&lt;wsp:rsid wsp:val=&quot;00CD2A67&quot;/&gt;&lt;wsp:rsid wsp:val=&quot;00CD2DBC&quot;/&gt;&lt;wsp:rsid wsp:val=&quot;00CD2EBF&quot;/&gt;&lt;wsp:rsid wsp:val=&quot;00CD2EEE&quot;/&gt;&lt;wsp:rsid wsp:val=&quot;00CD32DE&quot;/&gt;&lt;wsp:rsid wsp:val=&quot;00CD3738&quot;/&gt;&lt;wsp:rsid wsp:val=&quot;00CD4F5F&quot;/&gt;&lt;wsp:rsid wsp:val=&quot;00CD5564&quot;/&gt;&lt;wsp:rsid wsp:val=&quot;00CD5579&quot;/&gt;&lt;wsp:rsid wsp:val=&quot;00CD58E8&quot;/&gt;&lt;wsp:rsid wsp:val=&quot;00CD6166&quot;/&gt;&lt;wsp:rsid wsp:val=&quot;00CD65C3&quot;/&gt;&lt;wsp:rsid wsp:val=&quot;00CD6758&quot;/&gt;&lt;wsp:rsid wsp:val=&quot;00CD6C96&quot;/&gt;&lt;wsp:rsid wsp:val=&quot;00CD7545&quot;/&gt;&lt;wsp:rsid wsp:val=&quot;00CD771C&quot;/&gt;&lt;wsp:rsid wsp:val=&quot;00CD7B8D&quot;/&gt;&lt;wsp:rsid wsp:val=&quot;00CD7B96&quot;/&gt;&lt;wsp:rsid wsp:val=&quot;00CD7BD4&quot;/&gt;&lt;wsp:rsid wsp:val=&quot;00CD7F00&quot;/&gt;&lt;wsp:rsid wsp:val=&quot;00CE0386&quot;/&gt;&lt;wsp:rsid wsp:val=&quot;00CE0EC1&quot;/&gt;&lt;wsp:rsid wsp:val=&quot;00CE194F&quot;/&gt;&lt;wsp:rsid wsp:val=&quot;00CE1977&quot;/&gt;&lt;wsp:rsid wsp:val=&quot;00CE1A3C&quot;/&gt;&lt;wsp:rsid wsp:val=&quot;00CE1D2D&quot;/&gt;&lt;wsp:rsid wsp:val=&quot;00CE24B3&quot;/&gt;&lt;wsp:rsid wsp:val=&quot;00CE266B&quot;/&gt;&lt;wsp:rsid wsp:val=&quot;00CE34C7&quot;/&gt;&lt;wsp:rsid wsp:val=&quot;00CE354A&quot;/&gt;&lt;wsp:rsid wsp:val=&quot;00CE3638&quot;/&gt;&lt;wsp:rsid wsp:val=&quot;00CE37FF&quot;/&gt;&lt;wsp:rsid wsp:val=&quot;00CE46B5&quot;/&gt;&lt;wsp:rsid wsp:val=&quot;00CE5583&quot;/&gt;&lt;wsp:rsid wsp:val=&quot;00CE5C04&quot;/&gt;&lt;wsp:rsid wsp:val=&quot;00CE637A&quot;/&gt;&lt;wsp:rsid wsp:val=&quot;00CE740D&quot;/&gt;&lt;wsp:rsid wsp:val=&quot;00CE7CA9&quot;/&gt;&lt;wsp:rsid wsp:val=&quot;00CE7EFE&quot;/&gt;&lt;wsp:rsid wsp:val=&quot;00CF0151&quot;/&gt;&lt;wsp:rsid wsp:val=&quot;00CF04B5&quot;/&gt;&lt;wsp:rsid wsp:val=&quot;00CF1269&quot;/&gt;&lt;wsp:rsid wsp:val=&quot;00CF1276&quot;/&gt;&lt;wsp:rsid wsp:val=&quot;00CF1CA8&quot;/&gt;&lt;wsp:rsid wsp:val=&quot;00CF1D0E&quot;/&gt;&lt;wsp:rsid wsp:val=&quot;00CF220C&quot;/&gt;&lt;wsp:rsid wsp:val=&quot;00CF2D1B&quot;/&gt;&lt;wsp:rsid wsp:val=&quot;00CF31C7&quot;/&gt;&lt;wsp:rsid wsp:val=&quot;00CF3DA3&quot;/&gt;&lt;wsp:rsid wsp:val=&quot;00CF4122&quot;/&gt;&lt;wsp:rsid wsp:val=&quot;00CF4498&quot;/&gt;&lt;wsp:rsid wsp:val=&quot;00CF46F7&quot;/&gt;&lt;wsp:rsid wsp:val=&quot;00CF4B49&quot;/&gt;&lt;wsp:rsid wsp:val=&quot;00CF50E5&quot;/&gt;&lt;wsp:rsid wsp:val=&quot;00CF5147&quot;/&gt;&lt;wsp:rsid wsp:val=&quot;00CF5AF5&quot;/&gt;&lt;wsp:rsid wsp:val=&quot;00CF5DD0&quot;/&gt;&lt;wsp:rsid wsp:val=&quot;00CF7080&quot;/&gt;&lt;wsp:rsid wsp:val=&quot;00CF7184&quot;/&gt;&lt;wsp:rsid wsp:val=&quot;00CF7685&quot;/&gt;&lt;wsp:rsid wsp:val=&quot;00CF7DC5&quot;/&gt;&lt;wsp:rsid wsp:val=&quot;00CF7E0D&quot;/&gt;&lt;wsp:rsid wsp:val=&quot;00CF7E1E&quot;/&gt;&lt;wsp:rsid wsp:val=&quot;00D00543&quot;/&gt;&lt;wsp:rsid wsp:val=&quot;00D01023&quot;/&gt;&lt;wsp:rsid wsp:val=&quot;00D01659&quot;/&gt;&lt;wsp:rsid wsp:val=&quot;00D016F5&quot;/&gt;&lt;wsp:rsid wsp:val=&quot;00D0196E&quot;/&gt;&lt;wsp:rsid wsp:val=&quot;00D01B28&quot;/&gt;&lt;wsp:rsid wsp:val=&quot;00D01BC0&quot;/&gt;&lt;wsp:rsid wsp:val=&quot;00D0241E&quot;/&gt;&lt;wsp:rsid wsp:val=&quot;00D0246D&quot;/&gt;&lt;wsp:rsid wsp:val=&quot;00D03969&quot;/&gt;&lt;wsp:rsid wsp:val=&quot;00D04034&quot;/&gt;&lt;wsp:rsid wsp:val=&quot;00D04090&quot;/&gt;&lt;wsp:rsid wsp:val=&quot;00D0415E&quot;/&gt;&lt;wsp:rsid wsp:val=&quot;00D05889&quot;/&gt;&lt;wsp:rsid wsp:val=&quot;00D079FF&quot;/&gt;&lt;wsp:rsid wsp:val=&quot;00D07C11&quot;/&gt;&lt;wsp:rsid wsp:val=&quot;00D100F0&quot;/&gt;&lt;wsp:rsid wsp:val=&quot;00D10719&quot;/&gt;&lt;wsp:rsid wsp:val=&quot;00D10775&quot;/&gt;&lt;wsp:rsid wsp:val=&quot;00D107E0&quot;/&gt;&lt;wsp:rsid wsp:val=&quot;00D10D9B&quot;/&gt;&lt;wsp:rsid wsp:val=&quot;00D10F91&quot;/&gt;&lt;wsp:rsid wsp:val=&quot;00D113BF&quot;/&gt;&lt;wsp:rsid wsp:val=&quot;00D11DEC&quot;/&gt;&lt;wsp:rsid wsp:val=&quot;00D126E2&quot;/&gt;&lt;wsp:rsid wsp:val=&quot;00D12D6B&quot;/&gt;&lt;wsp:rsid wsp:val=&quot;00D138D5&quot;/&gt;&lt;wsp:rsid wsp:val=&quot;00D13F6F&quot;/&gt;&lt;wsp:rsid wsp:val=&quot;00D1431D&quot;/&gt;&lt;wsp:rsid wsp:val=&quot;00D14A39&quot;/&gt;&lt;wsp:rsid wsp:val=&quot;00D14E8C&quot;/&gt;&lt;wsp:rsid wsp:val=&quot;00D15022&quot;/&gt;&lt;wsp:rsid wsp:val=&quot;00D156FE&quot;/&gt;&lt;wsp:rsid wsp:val=&quot;00D15B69&quot;/&gt;&lt;wsp:rsid wsp:val=&quot;00D15D07&quot;/&gt;&lt;wsp:rsid wsp:val=&quot;00D15D44&quot;/&gt;&lt;wsp:rsid wsp:val=&quot;00D15D93&quot;/&gt;&lt;wsp:rsid wsp:val=&quot;00D16585&quot;/&gt;&lt;wsp:rsid wsp:val=&quot;00D17818&quot;/&gt;&lt;wsp:rsid wsp:val=&quot;00D200DE&quot;/&gt;&lt;wsp:rsid wsp:val=&quot;00D204D8&quot;/&gt;&lt;wsp:rsid wsp:val=&quot;00D20FF7&quot;/&gt;&lt;wsp:rsid wsp:val=&quot;00D21054&quot;/&gt;&lt;wsp:rsid wsp:val=&quot;00D214DA&quot;/&gt;&lt;wsp:rsid wsp:val=&quot;00D22BF1&quot;/&gt;&lt;wsp:rsid wsp:val=&quot;00D22CC2&quot;/&gt;&lt;wsp:rsid wsp:val=&quot;00D2328D&quot;/&gt;&lt;wsp:rsid wsp:val=&quot;00D23686&quot;/&gt;&lt;wsp:rsid wsp:val=&quot;00D24255&quot;/&gt;&lt;wsp:rsid wsp:val=&quot;00D245D5&quot;/&gt;&lt;wsp:rsid wsp:val=&quot;00D24857&quot;/&gt;&lt;wsp:rsid wsp:val=&quot;00D24CFB&quot;/&gt;&lt;wsp:rsid wsp:val=&quot;00D24E79&quot;/&gt;&lt;wsp:rsid wsp:val=&quot;00D25B1E&quot;/&gt;&lt;wsp:rsid wsp:val=&quot;00D265A1&quot;/&gt;&lt;wsp:rsid wsp:val=&quot;00D26772&quot;/&gt;&lt;wsp:rsid wsp:val=&quot;00D26F90&quot;/&gt;&lt;wsp:rsid wsp:val=&quot;00D271EC&quot;/&gt;&lt;wsp:rsid wsp:val=&quot;00D273A5&quot;/&gt;&lt;wsp:rsid wsp:val=&quot;00D2757A&quot;/&gt;&lt;wsp:rsid wsp:val=&quot;00D276BD&quot;/&gt;&lt;wsp:rsid wsp:val=&quot;00D27B46&quot;/&gt;&lt;wsp:rsid wsp:val=&quot;00D302C3&quot;/&gt;&lt;wsp:rsid wsp:val=&quot;00D30C44&quot;/&gt;&lt;wsp:rsid wsp:val=&quot;00D31286&quot;/&gt;&lt;wsp:rsid wsp:val=&quot;00D317B0&quot;/&gt;&lt;wsp:rsid wsp:val=&quot;00D31A84&quot;/&gt;&lt;wsp:rsid wsp:val=&quot;00D31D2B&quot;/&gt;&lt;wsp:rsid wsp:val=&quot;00D32279&quot;/&gt;&lt;wsp:rsid wsp:val=&quot;00D322AC&quot;/&gt;&lt;wsp:rsid wsp:val=&quot;00D3263E&quot;/&gt;&lt;wsp:rsid wsp:val=&quot;00D328C3&quot;/&gt;&lt;wsp:rsid wsp:val=&quot;00D329F0&quot;/&gt;&lt;wsp:rsid wsp:val=&quot;00D333C8&quot;/&gt;&lt;wsp:rsid wsp:val=&quot;00D33561&quot;/&gt;&lt;wsp:rsid wsp:val=&quot;00D3369A&quot;/&gt;&lt;wsp:rsid wsp:val=&quot;00D3407C&quot;/&gt;&lt;wsp:rsid wsp:val=&quot;00D345DE&quot;/&gt;&lt;wsp:rsid wsp:val=&quot;00D351AC&quot;/&gt;&lt;wsp:rsid wsp:val=&quot;00D35AB1&quot;/&gt;&lt;wsp:rsid wsp:val=&quot;00D35C64&quot;/&gt;&lt;wsp:rsid wsp:val=&quot;00D36580&quot;/&gt;&lt;wsp:rsid wsp:val=&quot;00D36758&quot;/&gt;&lt;wsp:rsid wsp:val=&quot;00D368B3&quot;/&gt;&lt;wsp:rsid wsp:val=&quot;00D36C4A&quot;/&gt;&lt;wsp:rsid wsp:val=&quot;00D3742B&quot;/&gt;&lt;wsp:rsid wsp:val=&quot;00D409A6&quot;/&gt;&lt;wsp:rsid wsp:val=&quot;00D40D04&quot;/&gt;&lt;wsp:rsid wsp:val=&quot;00D40EB8&quot;/&gt;&lt;wsp:rsid wsp:val=&quot;00D411A3&quot;/&gt;&lt;wsp:rsid wsp:val=&quot;00D41277&quot;/&gt;&lt;wsp:rsid wsp:val=&quot;00D412B8&quot;/&gt;&lt;wsp:rsid wsp:val=&quot;00D414D4&quot;/&gt;&lt;wsp:rsid wsp:val=&quot;00D417B7&quot;/&gt;&lt;wsp:rsid wsp:val=&quot;00D42371&quot;/&gt;&lt;wsp:rsid wsp:val=&quot;00D429CB&quot;/&gt;&lt;wsp:rsid wsp:val=&quot;00D42A9F&quot;/&gt;&lt;wsp:rsid wsp:val=&quot;00D431B6&quot;/&gt;&lt;wsp:rsid wsp:val=&quot;00D431FC&quot;/&gt;&lt;wsp:rsid wsp:val=&quot;00D43516&quot;/&gt;&lt;wsp:rsid wsp:val=&quot;00D43D08&quot;/&gt;&lt;wsp:rsid wsp:val=&quot;00D43FD5&quot;/&gt;&lt;wsp:rsid wsp:val=&quot;00D44077&quot;/&gt;&lt;wsp:rsid wsp:val=&quot;00D441BC&quot;/&gt;&lt;wsp:rsid wsp:val=&quot;00D447EB&quot;/&gt;&lt;wsp:rsid wsp:val=&quot;00D44BC7&quot;/&gt;&lt;wsp:rsid wsp:val=&quot;00D450E2&quot;/&gt;&lt;wsp:rsid wsp:val=&quot;00D454CA&quot;/&gt;&lt;wsp:rsid wsp:val=&quot;00D45727&quot;/&gt;&lt;wsp:rsid wsp:val=&quot;00D457E5&quot;/&gt;&lt;wsp:rsid wsp:val=&quot;00D46292&quot;/&gt;&lt;wsp:rsid wsp:val=&quot;00D46364&quot;/&gt;&lt;wsp:rsid wsp:val=&quot;00D46BE8&quot;/&gt;&lt;wsp:rsid wsp:val=&quot;00D477B1&quot;/&gt;&lt;wsp:rsid wsp:val=&quot;00D50047&quot;/&gt;&lt;wsp:rsid wsp:val=&quot;00D506E0&quot;/&gt;&lt;wsp:rsid wsp:val=&quot;00D519B1&quot;/&gt;&lt;wsp:rsid wsp:val=&quot;00D51F8F&quot;/&gt;&lt;wsp:rsid wsp:val=&quot;00D523FB&quot;/&gt;&lt;wsp:rsid wsp:val=&quot;00D52496&quot;/&gt;&lt;wsp:rsid wsp:val=&quot;00D536C1&quot;/&gt;&lt;wsp:rsid wsp:val=&quot;00D53DCD&quot;/&gt;&lt;wsp:rsid wsp:val=&quot;00D540EB&quot;/&gt;&lt;wsp:rsid wsp:val=&quot;00D54C5A&quot;/&gt;&lt;wsp:rsid wsp:val=&quot;00D552AE&quot;/&gt;&lt;wsp:rsid wsp:val=&quot;00D559AD&quot;/&gt;&lt;wsp:rsid wsp:val=&quot;00D56255&quot;/&gt;&lt;wsp:rsid wsp:val=&quot;00D562FA&quot;/&gt;&lt;wsp:rsid wsp:val=&quot;00D565A8&quot;/&gt;&lt;wsp:rsid wsp:val=&quot;00D570C8&quot;/&gt;&lt;wsp:rsid wsp:val=&quot;00D57D0C&quot;/&gt;&lt;wsp:rsid wsp:val=&quot;00D605BE&quot;/&gt;&lt;wsp:rsid wsp:val=&quot;00D60D46&quot;/&gt;&lt;wsp:rsid wsp:val=&quot;00D6198B&quot;/&gt;&lt;wsp:rsid wsp:val=&quot;00D61F25&quot;/&gt;&lt;wsp:rsid wsp:val=&quot;00D6219F&quot;/&gt;&lt;wsp:rsid wsp:val=&quot;00D6280E&quot;/&gt;&lt;wsp:rsid wsp:val=&quot;00D62A2C&quot;/&gt;&lt;wsp:rsid wsp:val=&quot;00D62E92&quot;/&gt;&lt;wsp:rsid wsp:val=&quot;00D62FBC&quot;/&gt;&lt;wsp:rsid wsp:val=&quot;00D6338C&quot;/&gt;&lt;wsp:rsid wsp:val=&quot;00D6360F&quot;/&gt;&lt;wsp:rsid wsp:val=&quot;00D63790&quot;/&gt;&lt;wsp:rsid wsp:val=&quot;00D63D92&quot;/&gt;&lt;wsp:rsid wsp:val=&quot;00D63DC3&quot;/&gt;&lt;wsp:rsid wsp:val=&quot;00D64C84&quot;/&gt;&lt;wsp:rsid wsp:val=&quot;00D6512A&quot;/&gt;&lt;wsp:rsid wsp:val=&quot;00D652BD&quot;/&gt;&lt;wsp:rsid wsp:val=&quot;00D65D68&quot;/&gt;&lt;wsp:rsid wsp:val=&quot;00D66882&quot;/&gt;&lt;wsp:rsid wsp:val=&quot;00D66CD7&quot;/&gt;&lt;wsp:rsid wsp:val=&quot;00D67210&quot;/&gt;&lt;wsp:rsid wsp:val=&quot;00D6779D&quot;/&gt;&lt;wsp:rsid wsp:val=&quot;00D70070&quot;/&gt;&lt;wsp:rsid wsp:val=&quot;00D70C2F&quot;/&gt;&lt;wsp:rsid wsp:val=&quot;00D70F8E&quot;/&gt;&lt;wsp:rsid wsp:val=&quot;00D71086&quot;/&gt;&lt;wsp:rsid wsp:val=&quot;00D715B0&quot;/&gt;&lt;wsp:rsid wsp:val=&quot;00D71971&quot;/&gt;&lt;wsp:rsid wsp:val=&quot;00D72E63&quot;/&gt;&lt;wsp:rsid wsp:val=&quot;00D74C9B&quot;/&gt;&lt;wsp:rsid wsp:val=&quot;00D76D7C&quot;/&gt;&lt;wsp:rsid wsp:val=&quot;00D77773&quot;/&gt;&lt;wsp:rsid wsp:val=&quot;00D77AA1&quot;/&gt;&lt;wsp:rsid wsp:val=&quot;00D77C5C&quot;/&gt;&lt;wsp:rsid wsp:val=&quot;00D80153&quot;/&gt;&lt;wsp:rsid wsp:val=&quot;00D8017A&quot;/&gt;&lt;wsp:rsid wsp:val=&quot;00D8094D&quot;/&gt;&lt;wsp:rsid wsp:val=&quot;00D80AF5&quot;/&gt;&lt;wsp:rsid wsp:val=&quot;00D80CFE&quot;/&gt;&lt;wsp:rsid wsp:val=&quot;00D81969&quot;/&gt;&lt;wsp:rsid wsp:val=&quot;00D81FD3&quot;/&gt;&lt;wsp:rsid wsp:val=&quot;00D820FC&quot;/&gt;&lt;wsp:rsid wsp:val=&quot;00D82B40&quot;/&gt;&lt;wsp:rsid wsp:val=&quot;00D83131&quot;/&gt;&lt;wsp:rsid wsp:val=&quot;00D83DA1&quot;/&gt;&lt;wsp:rsid wsp:val=&quot;00D84372&quot;/&gt;&lt;wsp:rsid wsp:val=&quot;00D851E7&quot;/&gt;&lt;wsp:rsid wsp:val=&quot;00D85377&quot;/&gt;&lt;wsp:rsid wsp:val=&quot;00D85777&quot;/&gt;&lt;wsp:rsid wsp:val=&quot;00D8746A&quot;/&gt;&lt;wsp:rsid wsp:val=&quot;00D876D5&quot;/&gt;&lt;wsp:rsid wsp:val=&quot;00D879BD&quot;/&gt;&lt;wsp:rsid wsp:val=&quot;00D87AE1&quot;/&gt;&lt;wsp:rsid wsp:val=&quot;00D87E3C&quot;/&gt;&lt;wsp:rsid wsp:val=&quot;00D90116&quot;/&gt;&lt;wsp:rsid wsp:val=&quot;00D905CF&quot;/&gt;&lt;wsp:rsid wsp:val=&quot;00D9083E&quot;/&gt;&lt;wsp:rsid wsp:val=&quot;00D90898&quot;/&gt;&lt;wsp:rsid wsp:val=&quot;00D909B7&quot;/&gt;&lt;wsp:rsid wsp:val=&quot;00D90BCA&quot;/&gt;&lt;wsp:rsid wsp:val=&quot;00D90E73&quot;/&gt;&lt;wsp:rsid wsp:val=&quot;00D91392&quot;/&gt;&lt;wsp:rsid wsp:val=&quot;00D93519&quot;/&gt;&lt;wsp:rsid wsp:val=&quot;00D93B8A&quot;/&gt;&lt;wsp:rsid wsp:val=&quot;00D94062&quot;/&gt;&lt;wsp:rsid wsp:val=&quot;00D94312&quot;/&gt;&lt;wsp:rsid wsp:val=&quot;00D944ED&quot;/&gt;&lt;wsp:rsid wsp:val=&quot;00D94EA3&quot;/&gt;&lt;wsp:rsid wsp:val=&quot;00D959E3&quot;/&gt;&lt;wsp:rsid wsp:val=&quot;00D95CA2&quot;/&gt;&lt;wsp:rsid wsp:val=&quot;00D95F8D&quot;/&gt;&lt;wsp:rsid wsp:val=&quot;00D96996&quot;/&gt;&lt;wsp:rsid wsp:val=&quot;00D97100&quot;/&gt;&lt;wsp:rsid wsp:val=&quot;00DA0224&quot;/&gt;&lt;wsp:rsid wsp:val=&quot;00DA0236&quot;/&gt;&lt;wsp:rsid wsp:val=&quot;00DA0514&quot;/&gt;&lt;wsp:rsid wsp:val=&quot;00DA16D6&quot;/&gt;&lt;wsp:rsid wsp:val=&quot;00DA192E&quot;/&gt;&lt;wsp:rsid wsp:val=&quot;00DA201E&quot;/&gt;&lt;wsp:rsid wsp:val=&quot;00DA2C67&quot;/&gt;&lt;wsp:rsid wsp:val=&quot;00DA30ED&quot;/&gt;&lt;wsp:rsid wsp:val=&quot;00DA318D&quot;/&gt;&lt;wsp:rsid wsp:val=&quot;00DA3471&quot;/&gt;&lt;wsp:rsid wsp:val=&quot;00DA3BD3&quot;/&gt;&lt;wsp:rsid wsp:val=&quot;00DA4A6A&quot;/&gt;&lt;wsp:rsid wsp:val=&quot;00DA5471&quot;/&gt;&lt;wsp:rsid wsp:val=&quot;00DA58E1&quot;/&gt;&lt;wsp:rsid wsp:val=&quot;00DA5B2D&quot;/&gt;&lt;wsp:rsid wsp:val=&quot;00DA60EF&quot;/&gt;&lt;wsp:rsid wsp:val=&quot;00DA7916&quot;/&gt;&lt;wsp:rsid wsp:val=&quot;00DA7B50&quot;/&gt;&lt;wsp:rsid wsp:val=&quot;00DB0686&quot;/&gt;&lt;wsp:rsid wsp:val=&quot;00DB136B&quot;/&gt;&lt;wsp:rsid wsp:val=&quot;00DB13F0&quot;/&gt;&lt;wsp:rsid wsp:val=&quot;00DB1DC4&quot;/&gt;&lt;wsp:rsid wsp:val=&quot;00DB22B8&quot;/&gt;&lt;wsp:rsid wsp:val=&quot;00DB2FC2&quot;/&gt;&lt;wsp:rsid wsp:val=&quot;00DB44D4&quot;/&gt;&lt;wsp:rsid wsp:val=&quot;00DB4664&quot;/&gt;&lt;wsp:rsid wsp:val=&quot;00DB49B6&quot;/&gt;&lt;wsp:rsid wsp:val=&quot;00DB52D1&quot;/&gt;&lt;wsp:rsid wsp:val=&quot;00DB56D1&quot;/&gt;&lt;wsp:rsid wsp:val=&quot;00DB57FA&quot;/&gt;&lt;wsp:rsid wsp:val=&quot;00DB647A&quot;/&gt;&lt;wsp:rsid wsp:val=&quot;00DB64B8&quot;/&gt;&lt;wsp:rsid wsp:val=&quot;00DB7282&quot;/&gt;&lt;wsp:rsid wsp:val=&quot;00DB776F&quot;/&gt;&lt;wsp:rsid wsp:val=&quot;00DC03A0&quot;/&gt;&lt;wsp:rsid wsp:val=&quot;00DC0568&quot;/&gt;&lt;wsp:rsid wsp:val=&quot;00DC0963&quot;/&gt;&lt;wsp:rsid wsp:val=&quot;00DC12E4&quot;/&gt;&lt;wsp:rsid wsp:val=&quot;00DC22F8&quot;/&gt;&lt;wsp:rsid wsp:val=&quot;00DC3990&quot;/&gt;&lt;wsp:rsid wsp:val=&quot;00DC3CB3&quot;/&gt;&lt;wsp:rsid wsp:val=&quot;00DC4456&quot;/&gt;&lt;wsp:rsid wsp:val=&quot;00DC477E&quot;/&gt;&lt;wsp:rsid wsp:val=&quot;00DC500A&quot;/&gt;&lt;wsp:rsid wsp:val=&quot;00DC53EE&quot;/&gt;&lt;wsp:rsid wsp:val=&quot;00DC58E3&quot;/&gt;&lt;wsp:rsid wsp:val=&quot;00DC62A8&quot;/&gt;&lt;wsp:rsid wsp:val=&quot;00DC66E5&quot;/&gt;&lt;wsp:rsid wsp:val=&quot;00DC68F9&quot;/&gt;&lt;wsp:rsid wsp:val=&quot;00DC70C8&quot;/&gt;&lt;wsp:rsid wsp:val=&quot;00DC7783&quot;/&gt;&lt;wsp:rsid wsp:val=&quot;00DC7F63&quot;/&gt;&lt;wsp:rsid wsp:val=&quot;00DD0413&quot;/&gt;&lt;wsp:rsid wsp:val=&quot;00DD055A&quot;/&gt;&lt;wsp:rsid wsp:val=&quot;00DD0604&quot;/&gt;&lt;wsp:rsid wsp:val=&quot;00DD0EBD&quot;/&gt;&lt;wsp:rsid wsp:val=&quot;00DD1363&quot;/&gt;&lt;wsp:rsid wsp:val=&quot;00DD17FA&quot;/&gt;&lt;wsp:rsid wsp:val=&quot;00DD283D&quot;/&gt;&lt;wsp:rsid wsp:val=&quot;00DD358D&quot;/&gt;&lt;wsp:rsid wsp:val=&quot;00DD3E5B&quot;/&gt;&lt;wsp:rsid wsp:val=&quot;00DD45D6&quot;/&gt;&lt;wsp:rsid wsp:val=&quot;00DD4749&quot;/&gt;&lt;wsp:rsid wsp:val=&quot;00DD4CE1&quot;/&gt;&lt;wsp:rsid wsp:val=&quot;00DD5746&quot;/&gt;&lt;wsp:rsid wsp:val=&quot;00DD6762&quot;/&gt;&lt;wsp:rsid wsp:val=&quot;00DD6C48&quot;/&gt;&lt;wsp:rsid wsp:val=&quot;00DD6D36&quot;/&gt;&lt;wsp:rsid wsp:val=&quot;00DD6E91&quot;/&gt;&lt;wsp:rsid wsp:val=&quot;00DD7A46&quot;/&gt;&lt;wsp:rsid wsp:val=&quot;00DD7A6B&quot;/&gt;&lt;wsp:rsid wsp:val=&quot;00DD7DD0&quot;/&gt;&lt;wsp:rsid wsp:val=&quot;00DD7E06&quot;/&gt;&lt;wsp:rsid wsp:val=&quot;00DE0174&quot;/&gt;&lt;wsp:rsid wsp:val=&quot;00DE08D6&quot;/&gt;&lt;wsp:rsid wsp:val=&quot;00DE1151&quot;/&gt;&lt;wsp:rsid wsp:val=&quot;00DE13A2&quot;/&gt;&lt;wsp:rsid wsp:val=&quot;00DE1F15&quot;/&gt;&lt;wsp:rsid wsp:val=&quot;00DE30A1&quot;/&gt;&lt;wsp:rsid wsp:val=&quot;00DE33FA&quot;/&gt;&lt;wsp:rsid wsp:val=&quot;00DE39DE&quot;/&gt;&lt;wsp:rsid wsp:val=&quot;00DE42E2&quot;/&gt;&lt;wsp:rsid wsp:val=&quot;00DE4730&quot;/&gt;&lt;wsp:rsid wsp:val=&quot;00DE4E7A&quot;/&gt;&lt;wsp:rsid wsp:val=&quot;00DE5466&quot;/&gt;&lt;wsp:rsid wsp:val=&quot;00DE579C&quot;/&gt;&lt;wsp:rsid wsp:val=&quot;00DE5B6E&quot;/&gt;&lt;wsp:rsid wsp:val=&quot;00DE658F&quot;/&gt;&lt;wsp:rsid wsp:val=&quot;00DE6E1B&quot;/&gt;&lt;wsp:rsid wsp:val=&quot;00DE6FF4&quot;/&gt;&lt;wsp:rsid wsp:val=&quot;00DE7018&quot;/&gt;&lt;wsp:rsid wsp:val=&quot;00DE76ED&quot;/&gt;&lt;wsp:rsid wsp:val=&quot;00DE7A76&quot;/&gt;&lt;wsp:rsid wsp:val=&quot;00DE7C20&quot;/&gt;&lt;wsp:rsid wsp:val=&quot;00DF006C&quot;/&gt;&lt;wsp:rsid wsp:val=&quot;00DF0607&quot;/&gt;&lt;wsp:rsid wsp:val=&quot;00DF0DCC&quot;/&gt;&lt;wsp:rsid wsp:val=&quot;00DF10E4&quot;/&gt;&lt;wsp:rsid wsp:val=&quot;00DF12FD&quot;/&gt;&lt;wsp:rsid wsp:val=&quot;00DF1339&quot;/&gt;&lt;wsp:rsid wsp:val=&quot;00DF13CB&quot;/&gt;&lt;wsp:rsid wsp:val=&quot;00DF13FB&quot;/&gt;&lt;wsp:rsid wsp:val=&quot;00DF1C89&quot;/&gt;&lt;wsp:rsid wsp:val=&quot;00DF234F&quot;/&gt;&lt;wsp:rsid wsp:val=&quot;00DF2583&quot;/&gt;&lt;wsp:rsid wsp:val=&quot;00DF26B1&quot;/&gt;&lt;wsp:rsid wsp:val=&quot;00DF2CE2&quot;/&gt;&lt;wsp:rsid wsp:val=&quot;00DF2D0D&quot;/&gt;&lt;wsp:rsid wsp:val=&quot;00DF3365&quot;/&gt;&lt;wsp:rsid wsp:val=&quot;00DF3762&quot;/&gt;&lt;wsp:rsid wsp:val=&quot;00DF3841&quot;/&gt;&lt;wsp:rsid wsp:val=&quot;00DF41B7&quot;/&gt;&lt;wsp:rsid wsp:val=&quot;00DF4320&quot;/&gt;&lt;wsp:rsid wsp:val=&quot;00DF49F3&quot;/&gt;&lt;wsp:rsid wsp:val=&quot;00DF4B12&quot;/&gt;&lt;wsp:rsid wsp:val=&quot;00DF52BB&quot;/&gt;&lt;wsp:rsid wsp:val=&quot;00DF614E&quot;/&gt;&lt;wsp:rsid wsp:val=&quot;00DF617A&quot;/&gt;&lt;wsp:rsid wsp:val=&quot;00DF6BE4&quot;/&gt;&lt;wsp:rsid wsp:val=&quot;00DF6D56&quot;/&gt;&lt;wsp:rsid wsp:val=&quot;00DF7749&quot;/&gt;&lt;wsp:rsid wsp:val=&quot;00DF7B26&quot;/&gt;&lt;wsp:rsid wsp:val=&quot;00DF7CCD&quot;/&gt;&lt;wsp:rsid wsp:val=&quot;00E00C0C&quot;/&gt;&lt;wsp:rsid wsp:val=&quot;00E01254&quot;/&gt;&lt;wsp:rsid wsp:val=&quot;00E0184F&quot;/&gt;&lt;wsp:rsid wsp:val=&quot;00E01E4E&quot;/&gt;&lt;wsp:rsid wsp:val=&quot;00E02B54&quot;/&gt;&lt;wsp:rsid wsp:val=&quot;00E03E5D&quot;/&gt;&lt;wsp:rsid wsp:val=&quot;00E04201&quot;/&gt;&lt;wsp:rsid wsp:val=&quot;00E0449A&quot;/&gt;&lt;wsp:rsid wsp:val=&quot;00E04903&quot;/&gt;&lt;wsp:rsid wsp:val=&quot;00E04B09&quot;/&gt;&lt;wsp:rsid wsp:val=&quot;00E04D9E&quot;/&gt;&lt;wsp:rsid wsp:val=&quot;00E04F4D&quot;/&gt;&lt;wsp:rsid wsp:val=&quot;00E04F8E&quot;/&gt;&lt;wsp:rsid wsp:val=&quot;00E05AA4&quot;/&gt;&lt;wsp:rsid wsp:val=&quot;00E05AEB&quot;/&gt;&lt;wsp:rsid wsp:val=&quot;00E05BE5&quot;/&gt;&lt;wsp:rsid wsp:val=&quot;00E05C93&quot;/&gt;&lt;wsp:rsid wsp:val=&quot;00E06C62&quot;/&gt;&lt;wsp:rsid wsp:val=&quot;00E06F01&quot;/&gt;&lt;wsp:rsid wsp:val=&quot;00E07030&quot;/&gt;&lt;wsp:rsid wsp:val=&quot;00E071FB&quot;/&gt;&lt;wsp:rsid wsp:val=&quot;00E10450&quot;/&gt;&lt;wsp:rsid wsp:val=&quot;00E10624&quot;/&gt;&lt;wsp:rsid wsp:val=&quot;00E10DAB&quot;/&gt;&lt;wsp:rsid wsp:val=&quot;00E11275&quot;/&gt;&lt;wsp:rsid wsp:val=&quot;00E11308&quot;/&gt;&lt;wsp:rsid wsp:val=&quot;00E113B7&quot;/&gt;&lt;wsp:rsid wsp:val=&quot;00E11410&quot;/&gt;&lt;wsp:rsid wsp:val=&quot;00E126A9&quot;/&gt;&lt;wsp:rsid wsp:val=&quot;00E12E6D&quot;/&gt;&lt;wsp:rsid wsp:val=&quot;00E13383&quot;/&gt;&lt;wsp:rsid wsp:val=&quot;00E13868&quot;/&gt;&lt;wsp:rsid wsp:val=&quot;00E13DCA&quot;/&gt;&lt;wsp:rsid wsp:val=&quot;00E144C7&quot;/&gt;&lt;wsp:rsid wsp:val=&quot;00E14B47&quot;/&gt;&lt;wsp:rsid wsp:val=&quot;00E15022&quot;/&gt;&lt;wsp:rsid wsp:val=&quot;00E15317&quot;/&gt;&lt;wsp:rsid wsp:val=&quot;00E1567E&quot;/&gt;&lt;wsp:rsid wsp:val=&quot;00E156E5&quot;/&gt;&lt;wsp:rsid wsp:val=&quot;00E159B3&quot;/&gt;&lt;wsp:rsid wsp:val=&quot;00E15F16&quot;/&gt;&lt;wsp:rsid wsp:val=&quot;00E1611E&quot;/&gt;&lt;wsp:rsid wsp:val=&quot;00E16438&quot;/&gt;&lt;wsp:rsid wsp:val=&quot;00E16B88&quot;/&gt;&lt;wsp:rsid wsp:val=&quot;00E16E84&quot;/&gt;&lt;wsp:rsid wsp:val=&quot;00E17537&quot;/&gt;&lt;wsp:rsid wsp:val=&quot;00E17704&quot;/&gt;&lt;wsp:rsid wsp:val=&quot;00E1775A&quot;/&gt;&lt;wsp:rsid wsp:val=&quot;00E17BBA&quot;/&gt;&lt;wsp:rsid wsp:val=&quot;00E2007C&quot;/&gt;&lt;wsp:rsid wsp:val=&quot;00E2030A&quot;/&gt;&lt;wsp:rsid wsp:val=&quot;00E20458&quot;/&gt;&lt;wsp:rsid wsp:val=&quot;00E20693&quot;/&gt;&lt;wsp:rsid wsp:val=&quot;00E20EB6&quot;/&gt;&lt;wsp:rsid wsp:val=&quot;00E215BE&quot;/&gt;&lt;wsp:rsid wsp:val=&quot;00E21618&quot;/&gt;&lt;wsp:rsid wsp:val=&quot;00E21B08&quot;/&gt;&lt;wsp:rsid wsp:val=&quot;00E232FA&quot;/&gt;&lt;wsp:rsid wsp:val=&quot;00E23588&quot;/&gt;&lt;wsp:rsid wsp:val=&quot;00E237C9&quot;/&gt;&lt;wsp:rsid wsp:val=&quot;00E23986&quot;/&gt;&lt;wsp:rsid wsp:val=&quot;00E23B3A&quot;/&gt;&lt;wsp:rsid wsp:val=&quot;00E23DD9&quot;/&gt;&lt;wsp:rsid wsp:val=&quot;00E2412C&quot;/&gt;&lt;wsp:rsid wsp:val=&quot;00E24AB0&quot;/&gt;&lt;wsp:rsid wsp:val=&quot;00E250C7&quot;/&gt;&lt;wsp:rsid wsp:val=&quot;00E2510B&quot;/&gt;&lt;wsp:rsid wsp:val=&quot;00E2525E&quot;/&gt;&lt;wsp:rsid wsp:val=&quot;00E2587B&quot;/&gt;&lt;wsp:rsid wsp:val=&quot;00E25BAC&quot;/&gt;&lt;wsp:rsid wsp:val=&quot;00E2655E&quot;/&gt;&lt;wsp:rsid wsp:val=&quot;00E270D7&quot;/&gt;&lt;wsp:rsid wsp:val=&quot;00E30189&quot;/&gt;&lt;wsp:rsid wsp:val=&quot;00E3094F&quot;/&gt;&lt;wsp:rsid wsp:val=&quot;00E30B5C&quot;/&gt;&lt;wsp:rsid wsp:val=&quot;00E3133D&quot;/&gt;&lt;wsp:rsid wsp:val=&quot;00E3167F&quot;/&gt;&lt;wsp:rsid wsp:val=&quot;00E3223C&quot;/&gt;&lt;wsp:rsid wsp:val=&quot;00E33AE6&quot;/&gt;&lt;wsp:rsid wsp:val=&quot;00E3594D&quot;/&gt;&lt;wsp:rsid wsp:val=&quot;00E359AC&quot;/&gt;&lt;wsp:rsid wsp:val=&quot;00E35EE6&quot;/&gt;&lt;wsp:rsid wsp:val=&quot;00E367D3&quot;/&gt;&lt;wsp:rsid wsp:val=&quot;00E368E1&quot;/&gt;&lt;wsp:rsid wsp:val=&quot;00E3704F&quot;/&gt;&lt;wsp:rsid wsp:val=&quot;00E37D31&quot;/&gt;&lt;wsp:rsid wsp:val=&quot;00E40A3F&quot;/&gt;&lt;wsp:rsid wsp:val=&quot;00E414AB&quot;/&gt;&lt;wsp:rsid wsp:val=&quot;00E41FD6&quot;/&gt;&lt;wsp:rsid wsp:val=&quot;00E42001&quot;/&gt;&lt;wsp:rsid wsp:val=&quot;00E42383&quot;/&gt;&lt;wsp:rsid wsp:val=&quot;00E42B7D&quot;/&gt;&lt;wsp:rsid wsp:val=&quot;00E4300B&quot;/&gt;&lt;wsp:rsid wsp:val=&quot;00E43476&quot;/&gt;&lt;wsp:rsid wsp:val=&quot;00E4448C&quot;/&gt;&lt;wsp:rsid wsp:val=&quot;00E44FB8&quot;/&gt;&lt;wsp:rsid wsp:val=&quot;00E45131&quot;/&gt;&lt;wsp:rsid wsp:val=&quot;00E4520F&quot;/&gt;&lt;wsp:rsid wsp:val=&quot;00E45659&quot;/&gt;&lt;wsp:rsid wsp:val=&quot;00E45E54&quot;/&gt;&lt;wsp:rsid wsp:val=&quot;00E46794&quot;/&gt;&lt;wsp:rsid wsp:val=&quot;00E46D54&quot;/&gt;&lt;wsp:rsid wsp:val=&quot;00E47364&quot;/&gt;&lt;wsp:rsid wsp:val=&quot;00E474E8&quot;/&gt;&lt;wsp:rsid wsp:val=&quot;00E478C1&quot;/&gt;&lt;wsp:rsid wsp:val=&quot;00E47975&quot;/&gt;&lt;wsp:rsid wsp:val=&quot;00E47AD4&quot;/&gt;&lt;wsp:rsid wsp:val=&quot;00E50398&quot;/&gt;&lt;wsp:rsid wsp:val=&quot;00E506A0&quot;/&gt;&lt;wsp:rsid wsp:val=&quot;00E50CE7&quot;/&gt;&lt;wsp:rsid wsp:val=&quot;00E5122B&quot;/&gt;&lt;wsp:rsid wsp:val=&quot;00E514E2&quot;/&gt;&lt;wsp:rsid wsp:val=&quot;00E516BB&quot;/&gt;&lt;wsp:rsid wsp:val=&quot;00E51D93&quot;/&gt;&lt;wsp:rsid wsp:val=&quot;00E51EC3&quot;/&gt;&lt;wsp:rsid wsp:val=&quot;00E5231E&quot;/&gt;&lt;wsp:rsid wsp:val=&quot;00E52350&quot;/&gt;&lt;wsp:rsid wsp:val=&quot;00E526E0&quot;/&gt;&lt;wsp:rsid wsp:val=&quot;00E52C18&quot;/&gt;&lt;wsp:rsid wsp:val=&quot;00E53257&quot;/&gt;&lt;wsp:rsid wsp:val=&quot;00E53A06&quot;/&gt;&lt;wsp:rsid wsp:val=&quot;00E54154&quot;/&gt;&lt;wsp:rsid wsp:val=&quot;00E54318&quot;/&gt;&lt;wsp:rsid wsp:val=&quot;00E545BC&quot;/&gt;&lt;wsp:rsid wsp:val=&quot;00E54997&quot;/&gt;&lt;wsp:rsid wsp:val=&quot;00E54C75&quot;/&gt;&lt;wsp:rsid wsp:val=&quot;00E54CE5&quot;/&gt;&lt;wsp:rsid wsp:val=&quot;00E54D93&quot;/&gt;&lt;wsp:rsid wsp:val=&quot;00E54DFE&quot;/&gt;&lt;wsp:rsid wsp:val=&quot;00E557EA&quot;/&gt;&lt;wsp:rsid wsp:val=&quot;00E55EF6&quot;/&gt;&lt;wsp:rsid wsp:val=&quot;00E566CF&quot;/&gt;&lt;wsp:rsid wsp:val=&quot;00E56917&quot;/&gt;&lt;wsp:rsid wsp:val=&quot;00E570D1&quot;/&gt;&lt;wsp:rsid wsp:val=&quot;00E5714D&quot;/&gt;&lt;wsp:rsid wsp:val=&quot;00E57E43&quot;/&gt;&lt;wsp:rsid wsp:val=&quot;00E601C0&quot;/&gt;&lt;wsp:rsid wsp:val=&quot;00E60F5B&quot;/&gt;&lt;wsp:rsid wsp:val=&quot;00E61067&quot;/&gt;&lt;wsp:rsid wsp:val=&quot;00E611CE&quot;/&gt;&lt;wsp:rsid wsp:val=&quot;00E61750&quot;/&gt;&lt;wsp:rsid wsp:val=&quot;00E61C2E&quot;/&gt;&lt;wsp:rsid wsp:val=&quot;00E625CF&quot;/&gt;&lt;wsp:rsid wsp:val=&quot;00E626A8&quot;/&gt;&lt;wsp:rsid wsp:val=&quot;00E6294C&quot;/&gt;&lt;wsp:rsid wsp:val=&quot;00E629B6&quot;/&gt;&lt;wsp:rsid wsp:val=&quot;00E62B11&quot;/&gt;&lt;wsp:rsid wsp:val=&quot;00E62C4D&quot;/&gt;&lt;wsp:rsid wsp:val=&quot;00E6491A&quot;/&gt;&lt;wsp:rsid wsp:val=&quot;00E64F08&quot;/&gt;&lt;wsp:rsid wsp:val=&quot;00E6528F&quot;/&gt;&lt;wsp:rsid wsp:val=&quot;00E656EB&quot;/&gt;&lt;wsp:rsid wsp:val=&quot;00E65CD6&quot;/&gt;&lt;wsp:rsid wsp:val=&quot;00E65D9F&quot;/&gt;&lt;wsp:rsid wsp:val=&quot;00E6705B&quot;/&gt;&lt;wsp:rsid wsp:val=&quot;00E716FE&quot;/&gt;&lt;wsp:rsid wsp:val=&quot;00E719FD&quot;/&gt;&lt;wsp:rsid wsp:val=&quot;00E71A82&quot;/&gt;&lt;wsp:rsid wsp:val=&quot;00E71FE3&quot;/&gt;&lt;wsp:rsid wsp:val=&quot;00E7223F&quot;/&gt;&lt;wsp:rsid wsp:val=&quot;00E72286&quot;/&gt;&lt;wsp:rsid wsp:val=&quot;00E723D7&quot;/&gt;&lt;wsp:rsid wsp:val=&quot;00E72509&quot;/&gt;&lt;wsp:rsid wsp:val=&quot;00E726F1&quot;/&gt;&lt;wsp:rsid wsp:val=&quot;00E7299D&quot;/&gt;&lt;wsp:rsid wsp:val=&quot;00E73459&quot;/&gt;&lt;wsp:rsid wsp:val=&quot;00E738C7&quot;/&gt;&lt;wsp:rsid wsp:val=&quot;00E74E90&quot;/&gt;&lt;wsp:rsid wsp:val=&quot;00E74EE0&quot;/&gt;&lt;wsp:rsid wsp:val=&quot;00E7503D&quot;/&gt;&lt;wsp:rsid wsp:val=&quot;00E756BE&quot;/&gt;&lt;wsp:rsid wsp:val=&quot;00E75B4E&quot;/&gt;&lt;wsp:rsid wsp:val=&quot;00E76079&quot;/&gt;&lt;wsp:rsid wsp:val=&quot;00E7616F&quot;/&gt;&lt;wsp:rsid wsp:val=&quot;00E76A3C&quot;/&gt;&lt;wsp:rsid wsp:val=&quot;00E77C13&quot;/&gt;&lt;wsp:rsid wsp:val=&quot;00E77DED&quot;/&gt;&lt;wsp:rsid wsp:val=&quot;00E77E34&quot;/&gt;&lt;wsp:rsid wsp:val=&quot;00E8021F&quot;/&gt;&lt;wsp:rsid wsp:val=&quot;00E81347&quot;/&gt;&lt;wsp:rsid wsp:val=&quot;00E8135E&quot;/&gt;&lt;wsp:rsid wsp:val=&quot;00E81868&quot;/&gt;&lt;wsp:rsid wsp:val=&quot;00E81BED&quot;/&gt;&lt;wsp:rsid wsp:val=&quot;00E81EA8&quot;/&gt;&lt;wsp:rsid wsp:val=&quot;00E8203F&quot;/&gt;&lt;wsp:rsid wsp:val=&quot;00E82D14&quot;/&gt;&lt;wsp:rsid wsp:val=&quot;00E83849&quot;/&gt;&lt;wsp:rsid wsp:val=&quot;00E839BF&quot;/&gt;&lt;wsp:rsid wsp:val=&quot;00E843FB&quot;/&gt;&lt;wsp:rsid wsp:val=&quot;00E847B9&quot;/&gt;&lt;wsp:rsid wsp:val=&quot;00E84E99&quot;/&gt;&lt;wsp:rsid wsp:val=&quot;00E85855&quot;/&gt;&lt;wsp:rsid wsp:val=&quot;00E85C7B&quot;/&gt;&lt;wsp:rsid wsp:val=&quot;00E862B9&quot;/&gt;&lt;wsp:rsid wsp:val=&quot;00E86B68&quot;/&gt;&lt;wsp:rsid wsp:val=&quot;00E87064&quot;/&gt;&lt;wsp:rsid wsp:val=&quot;00E87235&quot;/&gt;&lt;wsp:rsid wsp:val=&quot;00E87621&quot;/&gt;&lt;wsp:rsid wsp:val=&quot;00E877EE&quot;/&gt;&lt;wsp:rsid wsp:val=&quot;00E90073&quot;/&gt;&lt;wsp:rsid wsp:val=&quot;00E90443&quot;/&gt;&lt;wsp:rsid wsp:val=&quot;00E904DB&quot;/&gt;&lt;wsp:rsid wsp:val=&quot;00E90860&quot;/&gt;&lt;wsp:rsid wsp:val=&quot;00E90A4C&quot;/&gt;&lt;wsp:rsid wsp:val=&quot;00E912D7&quot;/&gt;&lt;wsp:rsid wsp:val=&quot;00E917A5&quot;/&gt;&lt;wsp:rsid wsp:val=&quot;00E9197F&quot;/&gt;&lt;wsp:rsid wsp:val=&quot;00E91CFF&quot;/&gt;&lt;wsp:rsid wsp:val=&quot;00E929C1&quot;/&gt;&lt;wsp:rsid wsp:val=&quot;00E92BCD&quot;/&gt;&lt;wsp:rsid wsp:val=&quot;00E92C2A&quot;/&gt;&lt;wsp:rsid wsp:val=&quot;00E935CA&quot;/&gt;&lt;wsp:rsid wsp:val=&quot;00E93728&quot;/&gt;&lt;wsp:rsid wsp:val=&quot;00E93A41&quot;/&gt;&lt;wsp:rsid wsp:val=&quot;00E93C6C&quot;/&gt;&lt;wsp:rsid wsp:val=&quot;00E93D89&quot;/&gt;&lt;wsp:rsid wsp:val=&quot;00E93E81&quot;/&gt;&lt;wsp:rsid wsp:val=&quot;00E93FC4&quot;/&gt;&lt;wsp:rsid wsp:val=&quot;00E94BE6&quot;/&gt;&lt;wsp:rsid wsp:val=&quot;00E950D6&quot;/&gt;&lt;wsp:rsid wsp:val=&quot;00E952E5&quot;/&gt;&lt;wsp:rsid wsp:val=&quot;00E95A3E&quot;/&gt;&lt;wsp:rsid wsp:val=&quot;00E95E17&quot;/&gt;&lt;wsp:rsid wsp:val=&quot;00E95FBD&quot;/&gt;&lt;wsp:rsid wsp:val=&quot;00E961FD&quot;/&gt;&lt;wsp:rsid wsp:val=&quot;00E977FE&quot;/&gt;&lt;wsp:rsid wsp:val=&quot;00E97AB4&quot;/&gt;&lt;wsp:rsid wsp:val=&quot;00E97D6E&quot;/&gt;&lt;wsp:rsid wsp:val=&quot;00EA01F4&quot;/&gt;&lt;wsp:rsid wsp:val=&quot;00EA0E5F&quot;/&gt;&lt;wsp:rsid wsp:val=&quot;00EA0F34&quot;/&gt;&lt;wsp:rsid wsp:val=&quot;00EA0FF0&quot;/&gt;&lt;wsp:rsid wsp:val=&quot;00EA11C3&quot;/&gt;&lt;wsp:rsid wsp:val=&quot;00EA1516&quot;/&gt;&lt;wsp:rsid wsp:val=&quot;00EA1ABE&quot;/&gt;&lt;wsp:rsid wsp:val=&quot;00EA21FB&quot;/&gt;&lt;wsp:rsid wsp:val=&quot;00EA2442&quot;/&gt;&lt;wsp:rsid wsp:val=&quot;00EA282F&quot;/&gt;&lt;wsp:rsid wsp:val=&quot;00EA2E6F&quot;/&gt;&lt;wsp:rsid wsp:val=&quot;00EA3003&quot;/&gt;&lt;wsp:rsid wsp:val=&quot;00EA3A35&quot;/&gt;&lt;wsp:rsid wsp:val=&quot;00EA3A43&quot;/&gt;&lt;wsp:rsid wsp:val=&quot;00EA3ED7&quot;/&gt;&lt;wsp:rsid wsp:val=&quot;00EA46AE&quot;/&gt;&lt;wsp:rsid wsp:val=&quot;00EA4CC3&quot;/&gt;&lt;wsp:rsid wsp:val=&quot;00EA4E7B&quot;/&gt;&lt;wsp:rsid wsp:val=&quot;00EA51C7&quot;/&gt;&lt;wsp:rsid wsp:val=&quot;00EA5986&quot;/&gt;&lt;wsp:rsid wsp:val=&quot;00EA6069&quot;/&gt;&lt;wsp:rsid wsp:val=&quot;00EA61BF&quot;/&gt;&lt;wsp:rsid wsp:val=&quot;00EA68CF&quot;/&gt;&lt;wsp:rsid wsp:val=&quot;00EA691E&quot;/&gt;&lt;wsp:rsid wsp:val=&quot;00EA72A8&quot;/&gt;&lt;wsp:rsid wsp:val=&quot;00EA72E4&quot;/&gt;&lt;wsp:rsid wsp:val=&quot;00EA7653&quot;/&gt;&lt;wsp:rsid wsp:val=&quot;00EA7FF7&quot;/&gt;&lt;wsp:rsid wsp:val=&quot;00EB0339&quot;/&gt;&lt;wsp:rsid wsp:val=&quot;00EB0A7B&quot;/&gt;&lt;wsp:rsid wsp:val=&quot;00EB0EAE&quot;/&gt;&lt;wsp:rsid wsp:val=&quot;00EB0F83&quot;/&gt;&lt;wsp:rsid wsp:val=&quot;00EB1212&quot;/&gt;&lt;wsp:rsid wsp:val=&quot;00EB13B1&quot;/&gt;&lt;wsp:rsid wsp:val=&quot;00EB2760&quot;/&gt;&lt;wsp:rsid wsp:val=&quot;00EB29AC&quot;/&gt;&lt;wsp:rsid wsp:val=&quot;00EB2C16&quot;/&gt;&lt;wsp:rsid wsp:val=&quot;00EB328C&quot;/&gt;&lt;wsp:rsid wsp:val=&quot;00EB3452&quot;/&gt;&lt;wsp:rsid wsp:val=&quot;00EB501B&quot;/&gt;&lt;wsp:rsid wsp:val=&quot;00EB5029&quot;/&gt;&lt;wsp:rsid wsp:val=&quot;00EB5487&quot;/&gt;&lt;wsp:rsid wsp:val=&quot;00EB5619&quot;/&gt;&lt;wsp:rsid wsp:val=&quot;00EB56E1&quot;/&gt;&lt;wsp:rsid wsp:val=&quot;00EB5757&quot;/&gt;&lt;wsp:rsid wsp:val=&quot;00EB664E&quot;/&gt;&lt;wsp:rsid wsp:val=&quot;00EB6652&quot;/&gt;&lt;wsp:rsid wsp:val=&quot;00EC0018&quot;/&gt;&lt;wsp:rsid wsp:val=&quot;00EC0C46&quot;/&gt;&lt;wsp:rsid wsp:val=&quot;00EC116C&quot;/&gt;&lt;wsp:rsid wsp:val=&quot;00EC129A&quot;/&gt;&lt;wsp:rsid wsp:val=&quot;00EC14E2&quot;/&gt;&lt;wsp:rsid wsp:val=&quot;00EC1AEA&quot;/&gt;&lt;wsp:rsid wsp:val=&quot;00EC23D0&quot;/&gt;&lt;wsp:rsid wsp:val=&quot;00EC269B&quot;/&gt;&lt;wsp:rsid wsp:val=&quot;00EC33D5&quot;/&gt;&lt;wsp:rsid wsp:val=&quot;00EC42FA&quot;/&gt;&lt;wsp:rsid wsp:val=&quot;00EC439B&quot;/&gt;&lt;wsp:rsid wsp:val=&quot;00EC4BD6&quot;/&gt;&lt;wsp:rsid wsp:val=&quot;00EC4F03&quot;/&gt;&lt;wsp:rsid wsp:val=&quot;00EC5EB8&quot;/&gt;&lt;wsp:rsid wsp:val=&quot;00EC63BD&quot;/&gt;&lt;wsp:rsid wsp:val=&quot;00EC6C30&quot;/&gt;&lt;wsp:rsid wsp:val=&quot;00EC7180&quot;/&gt;&lt;wsp:rsid wsp:val=&quot;00EC72E9&quot;/&gt;&lt;wsp:rsid wsp:val=&quot;00EC752A&quot;/&gt;&lt;wsp:rsid wsp:val=&quot;00EC7759&quot;/&gt;&lt;wsp:rsid wsp:val=&quot;00EC77F3&quot;/&gt;&lt;wsp:rsid wsp:val=&quot;00ED0139&quot;/&gt;&lt;wsp:rsid wsp:val=&quot;00ED0391&quot;/&gt;&lt;wsp:rsid wsp:val=&quot;00ED05C2&quot;/&gt;&lt;wsp:rsid wsp:val=&quot;00ED0D23&quot;/&gt;&lt;wsp:rsid wsp:val=&quot;00ED1221&quot;/&gt;&lt;wsp:rsid wsp:val=&quot;00ED182A&quot;/&gt;&lt;wsp:rsid wsp:val=&quot;00ED1C2C&quot;/&gt;&lt;wsp:rsid wsp:val=&quot;00ED1E6A&quot;/&gt;&lt;wsp:rsid wsp:val=&quot;00ED2216&quot;/&gt;&lt;wsp:rsid wsp:val=&quot;00ED25AA&quot;/&gt;&lt;wsp:rsid wsp:val=&quot;00ED27D3&quot;/&gt;&lt;wsp:rsid wsp:val=&quot;00ED28C7&quot;/&gt;&lt;wsp:rsid wsp:val=&quot;00ED2DCB&quot;/&gt;&lt;wsp:rsid wsp:val=&quot;00ED40B1&quot;/&gt;&lt;wsp:rsid wsp:val=&quot;00ED42F9&quot;/&gt;&lt;wsp:rsid wsp:val=&quot;00ED44B0&quot;/&gt;&lt;wsp:rsid wsp:val=&quot;00ED4790&quot;/&gt;&lt;wsp:rsid wsp:val=&quot;00ED5495&quot;/&gt;&lt;wsp:rsid wsp:val=&quot;00ED5D71&quot;/&gt;&lt;wsp:rsid wsp:val=&quot;00ED5F20&quot;/&gt;&lt;wsp:rsid wsp:val=&quot;00ED635D&quot;/&gt;&lt;wsp:rsid wsp:val=&quot;00ED65CE&quot;/&gt;&lt;wsp:rsid wsp:val=&quot;00ED6CFF&quot;/&gt;&lt;wsp:rsid wsp:val=&quot;00ED7514&quot;/&gt;&lt;wsp:rsid wsp:val=&quot;00ED7534&quot;/&gt;&lt;wsp:rsid wsp:val=&quot;00ED789F&quot;/&gt;&lt;wsp:rsid wsp:val=&quot;00EE074C&quot;/&gt;&lt;wsp:rsid wsp:val=&quot;00EE0CE0&quot;/&gt;&lt;wsp:rsid wsp:val=&quot;00EE13BB&quot;/&gt;&lt;wsp:rsid wsp:val=&quot;00EE1860&quot;/&gt;&lt;wsp:rsid wsp:val=&quot;00EE2568&quot;/&gt;&lt;wsp:rsid wsp:val=&quot;00EE2640&quot;/&gt;&lt;wsp:rsid wsp:val=&quot;00EE2723&quot;/&gt;&lt;wsp:rsid wsp:val=&quot;00EE29E0&quot;/&gt;&lt;wsp:rsid wsp:val=&quot;00EE2A99&quot;/&gt;&lt;wsp:rsid wsp:val=&quot;00EE2DE0&quot;/&gt;&lt;wsp:rsid wsp:val=&quot;00EE2FF3&quot;/&gt;&lt;wsp:rsid wsp:val=&quot;00EE387F&quot;/&gt;&lt;wsp:rsid wsp:val=&quot;00EE4AE2&quot;/&gt;&lt;wsp:rsid wsp:val=&quot;00EE4B37&quot;/&gt;&lt;wsp:rsid wsp:val=&quot;00EE4C5F&quot;/&gt;&lt;wsp:rsid wsp:val=&quot;00EE4D2C&quot;/&gt;&lt;wsp:rsid wsp:val=&quot;00EE4D33&quot;/&gt;&lt;wsp:rsid wsp:val=&quot;00EE524F&quot;/&gt;&lt;wsp:rsid wsp:val=&quot;00EE588D&quot;/&gt;&lt;wsp:rsid wsp:val=&quot;00EE617D&quot;/&gt;&lt;wsp:rsid wsp:val=&quot;00EE6490&quot;/&gt;&lt;wsp:rsid wsp:val=&quot;00EE6517&quot;/&gt;&lt;wsp:rsid wsp:val=&quot;00EE6A94&quot;/&gt;&lt;wsp:rsid wsp:val=&quot;00EE754B&quot;/&gt;&lt;wsp:rsid wsp:val=&quot;00EE7903&quot;/&gt;&lt;wsp:rsid wsp:val=&quot;00EF02D3&quot;/&gt;&lt;wsp:rsid wsp:val=&quot;00EF0C91&quot;/&gt;&lt;wsp:rsid wsp:val=&quot;00EF0D4B&quot;/&gt;&lt;wsp:rsid wsp:val=&quot;00EF1033&quot;/&gt;&lt;wsp:rsid wsp:val=&quot;00EF10B1&quot;/&gt;&lt;wsp:rsid wsp:val=&quot;00EF10CA&quot;/&gt;&lt;wsp:rsid wsp:val=&quot;00EF1EAA&quot;/&gt;&lt;wsp:rsid wsp:val=&quot;00EF2B93&quot;/&gt;&lt;wsp:rsid wsp:val=&quot;00EF2FAF&quot;/&gt;&lt;wsp:rsid wsp:val=&quot;00EF3121&quot;/&gt;&lt;wsp:rsid wsp:val=&quot;00EF31C3&quot;/&gt;&lt;wsp:rsid wsp:val=&quot;00EF3227&quot;/&gt;&lt;wsp:rsid wsp:val=&quot;00EF3DC7&quot;/&gt;&lt;wsp:rsid wsp:val=&quot;00EF4257&quot;/&gt;&lt;wsp:rsid wsp:val=&quot;00EF4790&quot;/&gt;&lt;wsp:rsid wsp:val=&quot;00EF4F57&quot;/&gt;&lt;wsp:rsid wsp:val=&quot;00EF5126&quot;/&gt;&lt;wsp:rsid wsp:val=&quot;00EF54B9&quot;/&gt;&lt;wsp:rsid wsp:val=&quot;00EF5689&quot;/&gt;&lt;wsp:rsid wsp:val=&quot;00EF5929&quot;/&gt;&lt;wsp:rsid wsp:val=&quot;00EF5F31&quot;/&gt;&lt;wsp:rsid wsp:val=&quot;00EF653C&quot;/&gt;&lt;wsp:rsid wsp:val=&quot;00EF6840&quot;/&gt;&lt;wsp:rsid wsp:val=&quot;00EF6A46&quot;/&gt;&lt;wsp:rsid wsp:val=&quot;00EF7347&quot;/&gt;&lt;wsp:rsid wsp:val=&quot;00EF752D&quot;/&gt;&lt;wsp:rsid wsp:val=&quot;00EF7AA3&quot;/&gt;&lt;wsp:rsid wsp:val=&quot;00EF7AB0&quot;/&gt;&lt;wsp:rsid wsp:val=&quot;00EF7D4A&quot;/&gt;&lt;wsp:rsid wsp:val=&quot;00F0009B&quot;/&gt;&lt;wsp:rsid wsp:val=&quot;00F002CD&quot;/&gt;&lt;wsp:rsid wsp:val=&quot;00F004B2&quot;/&gt;&lt;wsp:rsid wsp:val=&quot;00F0098D&quot;/&gt;&lt;wsp:rsid wsp:val=&quot;00F01563&quot;/&gt;&lt;wsp:rsid wsp:val=&quot;00F01758&quot;/&gt;&lt;wsp:rsid wsp:val=&quot;00F0200B&quot;/&gt;&lt;wsp:rsid wsp:val=&quot;00F03C4F&quot;/&gt;&lt;wsp:rsid wsp:val=&quot;00F03E0F&quot;/&gt;&lt;wsp:rsid wsp:val=&quot;00F0425C&quot;/&gt;&lt;wsp:rsid wsp:val=&quot;00F04A44&quot;/&gt;&lt;wsp:rsid wsp:val=&quot;00F050C2&quot;/&gt;&lt;wsp:rsid wsp:val=&quot;00F05128&quot;/&gt;&lt;wsp:rsid wsp:val=&quot;00F0522F&quot;/&gt;&lt;wsp:rsid wsp:val=&quot;00F053A3&quot;/&gt;&lt;wsp:rsid wsp:val=&quot;00F053D5&quot;/&gt;&lt;wsp:rsid wsp:val=&quot;00F0552F&quot;/&gt;&lt;wsp:rsid wsp:val=&quot;00F055A9&quot;/&gt;&lt;wsp:rsid wsp:val=&quot;00F05769&quot;/&gt;&lt;wsp:rsid wsp:val=&quot;00F05916&quot;/&gt;&lt;wsp:rsid wsp:val=&quot;00F06BDE&quot;/&gt;&lt;wsp:rsid wsp:val=&quot;00F06F19&quot;/&gt;&lt;wsp:rsid wsp:val=&quot;00F06F92&quot;/&gt;&lt;wsp:rsid wsp:val=&quot;00F07126&quot;/&gt;&lt;wsp:rsid wsp:val=&quot;00F07442&quot;/&gt;&lt;wsp:rsid wsp:val=&quot;00F0797F&quot;/&gt;&lt;wsp:rsid wsp:val=&quot;00F1094B&quot;/&gt;&lt;wsp:rsid wsp:val=&quot;00F10E36&quot;/&gt;&lt;wsp:rsid wsp:val=&quot;00F1105D&quot;/&gt;&lt;wsp:rsid wsp:val=&quot;00F111FA&quot;/&gt;&lt;wsp:rsid wsp:val=&quot;00F123C2&quot;/&gt;&lt;wsp:rsid wsp:val=&quot;00F12F7E&quot;/&gt;&lt;wsp:rsid wsp:val=&quot;00F13128&quot;/&gt;&lt;wsp:rsid wsp:val=&quot;00F134AF&quot;/&gt;&lt;wsp:rsid wsp:val=&quot;00F13726&quot;/&gt;&lt;wsp:rsid wsp:val=&quot;00F13F13&quot;/&gt;&lt;wsp:rsid wsp:val=&quot;00F1412F&quot;/&gt;&lt;wsp:rsid wsp:val=&quot;00F14557&quot;/&gt;&lt;wsp:rsid wsp:val=&quot;00F14853&quot;/&gt;&lt;wsp:rsid wsp:val=&quot;00F14924&quot;/&gt;&lt;wsp:rsid wsp:val=&quot;00F14978&quot;/&gt;&lt;wsp:rsid wsp:val=&quot;00F14CC8&quot;/&gt;&lt;wsp:rsid wsp:val=&quot;00F156A8&quot;/&gt;&lt;wsp:rsid wsp:val=&quot;00F15E0E&quot;/&gt;&lt;wsp:rsid wsp:val=&quot;00F166E5&quot;/&gt;&lt;wsp:rsid wsp:val=&quot;00F16B61&quot;/&gt;&lt;wsp:rsid wsp:val=&quot;00F175F0&quot;/&gt;&lt;wsp:rsid wsp:val=&quot;00F17AEF&quot;/&gt;&lt;wsp:rsid wsp:val=&quot;00F17C07&quot;/&gt;&lt;wsp:rsid wsp:val=&quot;00F17CAE&quot;/&gt;&lt;wsp:rsid wsp:val=&quot;00F17DC7&quot;/&gt;&lt;wsp:rsid wsp:val=&quot;00F17E23&quot;/&gt;&lt;wsp:rsid wsp:val=&quot;00F17E32&quot;/&gt;&lt;wsp:rsid wsp:val=&quot;00F202E1&quot;/&gt;&lt;wsp:rsid wsp:val=&quot;00F2073E&quot;/&gt;&lt;wsp:rsid wsp:val=&quot;00F20D5E&quot;/&gt;&lt;wsp:rsid wsp:val=&quot;00F210B9&quot;/&gt;&lt;wsp:rsid wsp:val=&quot;00F21412&quot;/&gt;&lt;wsp:rsid wsp:val=&quot;00F21554&quot;/&gt;&lt;wsp:rsid wsp:val=&quot;00F22AB3&quot;/&gt;&lt;wsp:rsid wsp:val=&quot;00F22F7F&quot;/&gt;&lt;wsp:rsid wsp:val=&quot;00F23013&quot;/&gt;&lt;wsp:rsid wsp:val=&quot;00F23449&quot;/&gt;&lt;wsp:rsid wsp:val=&quot;00F23941&quot;/&gt;&lt;wsp:rsid wsp:val=&quot;00F23EBA&quot;/&gt;&lt;wsp:rsid wsp:val=&quot;00F24058&quot;/&gt;&lt;wsp:rsid wsp:val=&quot;00F24145&quot;/&gt;&lt;wsp:rsid wsp:val=&quot;00F241A5&quot;/&gt;&lt;wsp:rsid wsp:val=&quot;00F24762&quot;/&gt;&lt;wsp:rsid wsp:val=&quot;00F2566B&quot;/&gt;&lt;wsp:rsid wsp:val=&quot;00F25746&quot;/&gt;&lt;wsp:rsid wsp:val=&quot;00F26662&quot;/&gt;&lt;wsp:rsid wsp:val=&quot;00F2709A&quot;/&gt;&lt;wsp:rsid wsp:val=&quot;00F272CD&quot;/&gt;&lt;wsp:rsid wsp:val=&quot;00F276D7&quot;/&gt;&lt;wsp:rsid wsp:val=&quot;00F27C56&quot;/&gt;&lt;wsp:rsid wsp:val=&quot;00F27DB4&quot;/&gt;&lt;wsp:rsid wsp:val=&quot;00F27EE0&quot;/&gt;&lt;wsp:rsid wsp:val=&quot;00F27F58&quot;/&gt;&lt;wsp:rsid wsp:val=&quot;00F302F1&quot;/&gt;&lt;wsp:rsid wsp:val=&quot;00F30688&quot;/&gt;&lt;wsp:rsid wsp:val=&quot;00F30B06&quot;/&gt;&lt;wsp:rsid wsp:val=&quot;00F30CE4&quot;/&gt;&lt;wsp:rsid wsp:val=&quot;00F31E0B&quot;/&gt;&lt;wsp:rsid wsp:val=&quot;00F32BA8&quot;/&gt;&lt;wsp:rsid wsp:val=&quot;00F32CC8&quot;/&gt;&lt;wsp:rsid wsp:val=&quot;00F33014&quot;/&gt;&lt;wsp:rsid wsp:val=&quot;00F33269&quot;/&gt;&lt;wsp:rsid wsp:val=&quot;00F3429B&quot;/&gt;&lt;wsp:rsid wsp:val=&quot;00F34792&quot;/&gt;&lt;wsp:rsid wsp:val=&quot;00F34AFA&quot;/&gt;&lt;wsp:rsid wsp:val=&quot;00F34EB5&quot;/&gt;&lt;wsp:rsid wsp:val=&quot;00F34FDE&quot;/&gt;&lt;wsp:rsid wsp:val=&quot;00F351D9&quot;/&gt;&lt;wsp:rsid wsp:val=&quot;00F353B1&quot;/&gt;&lt;wsp:rsid wsp:val=&quot;00F354E4&quot;/&gt;&lt;wsp:rsid wsp:val=&quot;00F359F8&quot;/&gt;&lt;wsp:rsid wsp:val=&quot;00F35E59&quot;/&gt;&lt;wsp:rsid wsp:val=&quot;00F370BF&quot;/&gt;&lt;wsp:rsid wsp:val=&quot;00F37117&quot;/&gt;&lt;wsp:rsid wsp:val=&quot;00F37227&quot;/&gt;&lt;wsp:rsid wsp:val=&quot;00F373F1&quot;/&gt;&lt;wsp:rsid wsp:val=&quot;00F3767A&quot;/&gt;&lt;wsp:rsid wsp:val=&quot;00F377A6&quot;/&gt;&lt;wsp:rsid wsp:val=&quot;00F3796B&quot;/&gt;&lt;wsp:rsid wsp:val=&quot;00F379CE&quot;/&gt;&lt;wsp:rsid wsp:val=&quot;00F40033&quot;/&gt;&lt;wsp:rsid wsp:val=&quot;00F406F4&quot;/&gt;&lt;wsp:rsid wsp:val=&quot;00F40787&quot;/&gt;&lt;wsp:rsid wsp:val=&quot;00F40AB9&quot;/&gt;&lt;wsp:rsid wsp:val=&quot;00F40B32&quot;/&gt;&lt;wsp:rsid wsp:val=&quot;00F40C14&quot;/&gt;&lt;wsp:rsid wsp:val=&quot;00F40C8A&quot;/&gt;&lt;wsp:rsid wsp:val=&quot;00F40FB0&quot;/&gt;&lt;wsp:rsid wsp:val=&quot;00F412FA&quot;/&gt;&lt;wsp:rsid wsp:val=&quot;00F419B9&quot;/&gt;&lt;wsp:rsid wsp:val=&quot;00F41E58&quot;/&gt;&lt;wsp:rsid wsp:val=&quot;00F41EFC&quot;/&gt;&lt;wsp:rsid wsp:val=&quot;00F4201D&quot;/&gt;&lt;wsp:rsid wsp:val=&quot;00F424A6&quot;/&gt;&lt;wsp:rsid wsp:val=&quot;00F43253&quot;/&gt;&lt;wsp:rsid wsp:val=&quot;00F439BA&quot;/&gt;&lt;wsp:rsid wsp:val=&quot;00F43E99&quot;/&gt;&lt;wsp:rsid wsp:val=&quot;00F44D98&quot;/&gt;&lt;wsp:rsid wsp:val=&quot;00F44E7F&quot;/&gt;&lt;wsp:rsid wsp:val=&quot;00F45228&quot;/&gt;&lt;wsp:rsid wsp:val=&quot;00F45E9A&quot;/&gt;&lt;wsp:rsid wsp:val=&quot;00F46D54&quot;/&gt;&lt;wsp:rsid wsp:val=&quot;00F47CA5&quot;/&gt;&lt;wsp:rsid wsp:val=&quot;00F50A01&quot;/&gt;&lt;wsp:rsid wsp:val=&quot;00F50E49&quot;/&gt;&lt;wsp:rsid wsp:val=&quot;00F51471&quot;/&gt;&lt;wsp:rsid wsp:val=&quot;00F51556&quot;/&gt;&lt;wsp:rsid wsp:val=&quot;00F518F9&quot;/&gt;&lt;wsp:rsid wsp:val=&quot;00F535FA&quot;/&gt;&lt;wsp:rsid wsp:val=&quot;00F536B9&quot;/&gt;&lt;wsp:rsid wsp:val=&quot;00F536E4&quot;/&gt;&lt;wsp:rsid wsp:val=&quot;00F537F5&quot;/&gt;&lt;wsp:rsid wsp:val=&quot;00F53E43&quot;/&gt;&lt;wsp:rsid wsp:val=&quot;00F546AA&quot;/&gt;&lt;wsp:rsid wsp:val=&quot;00F548A5&quot;/&gt;&lt;wsp:rsid wsp:val=&quot;00F54AFF&quot;/&gt;&lt;wsp:rsid wsp:val=&quot;00F54BAA&quot;/&gt;&lt;wsp:rsid wsp:val=&quot;00F5501D&quot;/&gt;&lt;wsp:rsid wsp:val=&quot;00F55057&quot;/&gt;&lt;wsp:rsid wsp:val=&quot;00F55388&quot;/&gt;&lt;wsp:rsid wsp:val=&quot;00F556FB&quot;/&gt;&lt;wsp:rsid wsp:val=&quot;00F55B74&quot;/&gt;&lt;wsp:rsid wsp:val=&quot;00F55D2B&quot;/&gt;&lt;wsp:rsid wsp:val=&quot;00F55D51&quot;/&gt;&lt;wsp:rsid wsp:val=&quot;00F55FB4&quot;/&gt;&lt;wsp:rsid wsp:val=&quot;00F55FC3&quot;/&gt;&lt;wsp:rsid wsp:val=&quot;00F56CB7&quot;/&gt;&lt;wsp:rsid wsp:val=&quot;00F6002A&quot;/&gt;&lt;wsp:rsid wsp:val=&quot;00F60055&quot;/&gt;&lt;wsp:rsid wsp:val=&quot;00F60065&quot;/&gt;&lt;wsp:rsid wsp:val=&quot;00F60DA7&quot;/&gt;&lt;wsp:rsid wsp:val=&quot;00F60E77&quot;/&gt;&lt;wsp:rsid wsp:val=&quot;00F610ED&quot;/&gt;&lt;wsp:rsid wsp:val=&quot;00F6131F&quot;/&gt;&lt;wsp:rsid wsp:val=&quot;00F6134C&quot;/&gt;&lt;wsp:rsid wsp:val=&quot;00F61AD7&quot;/&gt;&lt;wsp:rsid wsp:val=&quot;00F62ABF&quot;/&gt;&lt;wsp:rsid wsp:val=&quot;00F62B42&quot;/&gt;&lt;wsp:rsid wsp:val=&quot;00F63A32&quot;/&gt;&lt;wsp:rsid wsp:val=&quot;00F63C40&quot;/&gt;&lt;wsp:rsid wsp:val=&quot;00F63CAE&quot;/&gt;&lt;wsp:rsid wsp:val=&quot;00F64118&quot;/&gt;&lt;wsp:rsid wsp:val=&quot;00F646C7&quot;/&gt;&lt;wsp:rsid wsp:val=&quot;00F64A5A&quot;/&gt;&lt;wsp:rsid wsp:val=&quot;00F64B8F&quot;/&gt;&lt;wsp:rsid wsp:val=&quot;00F64C7E&quot;/&gt;&lt;wsp:rsid wsp:val=&quot;00F64E00&quot;/&gt;&lt;wsp:rsid wsp:val=&quot;00F65C47&quot;/&gt;&lt;wsp:rsid wsp:val=&quot;00F66586&quot;/&gt;&lt;wsp:rsid wsp:val=&quot;00F6660D&quot;/&gt;&lt;wsp:rsid wsp:val=&quot;00F670B1&quot;/&gt;&lt;wsp:rsid wsp:val=&quot;00F70247&quot;/&gt;&lt;wsp:rsid wsp:val=&quot;00F70D38&quot;/&gt;&lt;wsp:rsid wsp:val=&quot;00F71302&quot;/&gt;&lt;wsp:rsid wsp:val=&quot;00F71B19&quot;/&gt;&lt;wsp:rsid wsp:val=&quot;00F72A66&quot;/&gt;&lt;wsp:rsid wsp:val=&quot;00F73748&quot;/&gt;&lt;wsp:rsid wsp:val=&quot;00F73A2F&quot;/&gt;&lt;wsp:rsid wsp:val=&quot;00F73B67&quot;/&gt;&lt;wsp:rsid wsp:val=&quot;00F73D71&quot;/&gt;&lt;wsp:rsid wsp:val=&quot;00F73E9B&quot;/&gt;&lt;wsp:rsid wsp:val=&quot;00F73F5D&quot;/&gt;&lt;wsp:rsid wsp:val=&quot;00F74A45&quot;/&gt;&lt;wsp:rsid wsp:val=&quot;00F74A84&quot;/&gt;&lt;wsp:rsid wsp:val=&quot;00F74B63&quot;/&gt;&lt;wsp:rsid wsp:val=&quot;00F74CB6&quot;/&gt;&lt;wsp:rsid wsp:val=&quot;00F75257&quot;/&gt;&lt;wsp:rsid wsp:val=&quot;00F754CF&quot;/&gt;&lt;wsp:rsid wsp:val=&quot;00F75A17&quot;/&gt;&lt;wsp:rsid wsp:val=&quot;00F76130&quot;/&gt;&lt;wsp:rsid wsp:val=&quot;00F768AC&quot;/&gt;&lt;wsp:rsid wsp:val=&quot;00F76D72&quot;/&gt;&lt;wsp:rsid wsp:val=&quot;00F777C0&quot;/&gt;&lt;wsp:rsid wsp:val=&quot;00F77FA9&quot;/&gt;&lt;wsp:rsid wsp:val=&quot;00F8035D&quot;/&gt;&lt;wsp:rsid wsp:val=&quot;00F806FA&quot;/&gt;&lt;wsp:rsid wsp:val=&quot;00F80DF4&quot;/&gt;&lt;wsp:rsid wsp:val=&quot;00F80F66&quot;/&gt;&lt;wsp:rsid wsp:val=&quot;00F811DC&quot;/&gt;&lt;wsp:rsid wsp:val=&quot;00F815A4&quot;/&gt;&lt;wsp:rsid wsp:val=&quot;00F81787&quot;/&gt;&lt;wsp:rsid wsp:val=&quot;00F826BC&quot;/&gt;&lt;wsp:rsid wsp:val=&quot;00F831D8&quot;/&gt;&lt;wsp:rsid wsp:val=&quot;00F836D9&quot;/&gt;&lt;wsp:rsid wsp:val=&quot;00F8395B&quot;/&gt;&lt;wsp:rsid wsp:val=&quot;00F8421F&quot;/&gt;&lt;wsp:rsid wsp:val=&quot;00F84251&quot;/&gt;&lt;wsp:rsid wsp:val=&quot;00F84600&quot;/&gt;&lt;wsp:rsid wsp:val=&quot;00F8478D&quot;/&gt;&lt;wsp:rsid wsp:val=&quot;00F84D85&quot;/&gt;&lt;wsp:rsid wsp:val=&quot;00F85630&quot;/&gt;&lt;wsp:rsid wsp:val=&quot;00F8576B&quot;/&gt;&lt;wsp:rsid wsp:val=&quot;00F86546&quot;/&gt;&lt;wsp:rsid wsp:val=&quot;00F87296&quot;/&gt;&lt;wsp:rsid wsp:val=&quot;00F873D8&quot;/&gt;&lt;wsp:rsid wsp:val=&quot;00F87D56&quot;/&gt;&lt;wsp:rsid wsp:val=&quot;00F907B0&quot;/&gt;&lt;wsp:rsid wsp:val=&quot;00F90915&quot;/&gt;&lt;wsp:rsid wsp:val=&quot;00F90B8A&quot;/&gt;&lt;wsp:rsid wsp:val=&quot;00F9148F&quot;/&gt;&lt;wsp:rsid wsp:val=&quot;00F918BB&quot;/&gt;&lt;wsp:rsid wsp:val=&quot;00F91E0E&quot;/&gt;&lt;wsp:rsid wsp:val=&quot;00F92999&quot;/&gt;&lt;wsp:rsid wsp:val=&quot;00F92B57&quot;/&gt;&lt;wsp:rsid wsp:val=&quot;00F93752&quot;/&gt;&lt;wsp:rsid wsp:val=&quot;00F94100&quot;/&gt;&lt;wsp:rsid wsp:val=&quot;00F94B95&quot;/&gt;&lt;wsp:rsid wsp:val=&quot;00F9512F&quot;/&gt;&lt;wsp:rsid wsp:val=&quot;00F951BD&quot;/&gt;&lt;wsp:rsid wsp:val=&quot;00F957CD&quot;/&gt;&lt;wsp:rsid wsp:val=&quot;00F95BD7&quot;/&gt;&lt;wsp:rsid wsp:val=&quot;00F95DD7&quot;/&gt;&lt;wsp:rsid wsp:val=&quot;00F95E9F&quot;/&gt;&lt;wsp:rsid wsp:val=&quot;00F9621B&quot;/&gt;&lt;wsp:rsid wsp:val=&quot;00F96530&quot;/&gt;&lt;wsp:rsid wsp:val=&quot;00F96920&quot;/&gt;&lt;wsp:rsid wsp:val=&quot;00F96CC8&quot;/&gt;&lt;wsp:rsid wsp:val=&quot;00F96CF9&quot;/&gt;&lt;wsp:rsid wsp:val=&quot;00F9714A&quot;/&gt;&lt;wsp:rsid wsp:val=&quot;00F971A5&quot;/&gt;&lt;wsp:rsid wsp:val=&quot;00F975F2&quot;/&gt;&lt;wsp:rsid wsp:val=&quot;00F9794C&quot;/&gt;&lt;wsp:rsid wsp:val=&quot;00FA0073&quot;/&gt;&lt;wsp:rsid wsp:val=&quot;00FA0D8B&quot;/&gt;&lt;wsp:rsid wsp:val=&quot;00FA11EE&quot;/&gt;&lt;wsp:rsid wsp:val=&quot;00FA1502&quot;/&gt;&lt;wsp:rsid wsp:val=&quot;00FA1606&quot;/&gt;&lt;wsp:rsid wsp:val=&quot;00FA1618&quot;/&gt;&lt;wsp:rsid wsp:val=&quot;00FA1DCA&quot;/&gt;&lt;wsp:rsid wsp:val=&quot;00FA297B&quot;/&gt;&lt;wsp:rsid wsp:val=&quot;00FA3F9A&quot;/&gt;&lt;wsp:rsid wsp:val=&quot;00FA3FD4&quot;/&gt;&lt;wsp:rsid wsp:val=&quot;00FA4156&quot;/&gt;&lt;wsp:rsid wsp:val=&quot;00FA46E1&quot;/&gt;&lt;wsp:rsid wsp:val=&quot;00FA4C0E&quot;/&gt;&lt;wsp:rsid wsp:val=&quot;00FA4D2B&quot;/&gt;&lt;wsp:rsid wsp:val=&quot;00FA5365&quot;/&gt;&lt;wsp:rsid wsp:val=&quot;00FA66FC&quot;/&gt;&lt;wsp:rsid wsp:val=&quot;00FA6910&quot;/&gt;&lt;wsp:rsid wsp:val=&quot;00FA6F18&quot;/&gt;&lt;wsp:rsid wsp:val=&quot;00FA795B&quot;/&gt;&lt;wsp:rsid wsp:val=&quot;00FA7DD4&quot;/&gt;&lt;wsp:rsid wsp:val=&quot;00FB0533&quot;/&gt;&lt;wsp:rsid wsp:val=&quot;00FB0965&quot;/&gt;&lt;wsp:rsid wsp:val=&quot;00FB0B10&quot;/&gt;&lt;wsp:rsid wsp:val=&quot;00FB12E2&quot;/&gt;&lt;wsp:rsid wsp:val=&quot;00FB1549&quot;/&gt;&lt;wsp:rsid wsp:val=&quot;00FB2741&quot;/&gt;&lt;wsp:rsid wsp:val=&quot;00FB2ADD&quot;/&gt;&lt;wsp:rsid wsp:val=&quot;00FB3319&quot;/&gt;&lt;wsp:rsid wsp:val=&quot;00FB4A26&quot;/&gt;&lt;wsp:rsid wsp:val=&quot;00FB5017&quot;/&gt;&lt;wsp:rsid wsp:val=&quot;00FB50AD&quot;/&gt;&lt;wsp:rsid wsp:val=&quot;00FB51F9&quot;/&gt;&lt;wsp:rsid wsp:val=&quot;00FB5CFA&quot;/&gt;&lt;wsp:rsid wsp:val=&quot;00FB6583&quot;/&gt;&lt;wsp:rsid wsp:val=&quot;00FB7A48&quot;/&gt;&lt;wsp:rsid wsp:val=&quot;00FB7F07&quot;/&gt;&lt;wsp:rsid wsp:val=&quot;00FC0111&quot;/&gt;&lt;wsp:rsid wsp:val=&quot;00FC01BD&quot;/&gt;&lt;wsp:rsid wsp:val=&quot;00FC1042&quot;/&gt;&lt;wsp:rsid wsp:val=&quot;00FC1ED8&quot;/&gt;&lt;wsp:rsid wsp:val=&quot;00FC32BF&quot;/&gt;&lt;wsp:rsid wsp:val=&quot;00FC3A07&quot;/&gt;&lt;wsp:rsid wsp:val=&quot;00FC3AE7&quot;/&gt;&lt;wsp:rsid wsp:val=&quot;00FC3D6F&quot;/&gt;&lt;wsp:rsid wsp:val=&quot;00FC4020&quot;/&gt;&lt;wsp:rsid wsp:val=&quot;00FC42EC&quot;/&gt;&lt;wsp:rsid wsp:val=&quot;00FC4784&quot;/&gt;&lt;wsp:rsid wsp:val=&quot;00FC4D16&quot;/&gt;&lt;wsp:rsid wsp:val=&quot;00FC4DD9&quot;/&gt;&lt;wsp:rsid wsp:val=&quot;00FC4FD2&quot;/&gt;&lt;wsp:rsid wsp:val=&quot;00FC5903&quot;/&gt;&lt;wsp:rsid wsp:val=&quot;00FC5C49&quot;/&gt;&lt;wsp:rsid wsp:val=&quot;00FC68EF&quot;/&gt;&lt;wsp:rsid wsp:val=&quot;00FC6D36&quot;/&gt;&lt;wsp:rsid wsp:val=&quot;00FC7315&quot;/&gt;&lt;wsp:rsid wsp:val=&quot;00FC7904&quot;/&gt;&lt;wsp:rsid wsp:val=&quot;00FC7BA6&quot;/&gt;&lt;wsp:rsid wsp:val=&quot;00FC7DA6&quot;/&gt;&lt;wsp:rsid wsp:val=&quot;00FC7E0B&quot;/&gt;&lt;wsp:rsid wsp:val=&quot;00FD00CC&quot;/&gt;&lt;wsp:rsid wsp:val=&quot;00FD05BC&quot;/&gt;&lt;wsp:rsid wsp:val=&quot;00FD18C2&quot;/&gt;&lt;wsp:rsid wsp:val=&quot;00FD21F6&quot;/&gt;&lt;wsp:rsid wsp:val=&quot;00FD3081&quot;/&gt;&lt;wsp:rsid wsp:val=&quot;00FD31D3&quot;/&gt;&lt;wsp:rsid wsp:val=&quot;00FD323F&quot;/&gt;&lt;wsp:rsid wsp:val=&quot;00FD3821&quot;/&gt;&lt;wsp:rsid wsp:val=&quot;00FD3A5F&quot;/&gt;&lt;wsp:rsid wsp:val=&quot;00FD41CA&quot;/&gt;&lt;wsp:rsid wsp:val=&quot;00FD517D&quot;/&gt;&lt;wsp:rsid wsp:val=&quot;00FD51DF&quot;/&gt;&lt;wsp:rsid wsp:val=&quot;00FD533C&quot;/&gt;&lt;wsp:rsid wsp:val=&quot;00FD5B49&quot;/&gt;&lt;wsp:rsid wsp:val=&quot;00FD5D12&quot;/&gt;&lt;wsp:rsid wsp:val=&quot;00FD6F51&quot;/&gt;&lt;wsp:rsid wsp:val=&quot;00FD6FC2&quot;/&gt;&lt;wsp:rsid wsp:val=&quot;00FE010A&quot;/&gt;&lt;wsp:rsid wsp:val=&quot;00FE063C&quot;/&gt;&lt;wsp:rsid wsp:val=&quot;00FE0B99&quot;/&gt;&lt;wsp:rsid wsp:val=&quot;00FE190C&quot;/&gt;&lt;wsp:rsid wsp:val=&quot;00FE1C7B&quot;/&gt;&lt;wsp:rsid wsp:val=&quot;00FE286F&quot;/&gt;&lt;wsp:rsid wsp:val=&quot;00FE2C81&quot;/&gt;&lt;wsp:rsid wsp:val=&quot;00FE2F7A&quot;/&gt;&lt;wsp:rsid wsp:val=&quot;00FE3520&quot;/&gt;&lt;wsp:rsid wsp:val=&quot;00FE3D63&quot;/&gt;&lt;wsp:rsid wsp:val=&quot;00FE46EC&quot;/&gt;&lt;wsp:rsid wsp:val=&quot;00FE483B&quot;/&gt;&lt;wsp:rsid wsp:val=&quot;00FE5FD9&quot;/&gt;&lt;wsp:rsid wsp:val=&quot;00FE60C8&quot;/&gt;&lt;wsp:rsid wsp:val=&quot;00FE6BE4&quot;/&gt;&lt;wsp:rsid wsp:val=&quot;00FE70FB&quot;/&gt;&lt;wsp:rsid wsp:val=&quot;00FE7C65&quot;/&gt;&lt;wsp:rsid wsp:val=&quot;00FF098D&quot;/&gt;&lt;wsp:rsid wsp:val=&quot;00FF0AFA&quot;/&gt;&lt;wsp:rsid wsp:val=&quot;00FF1662&quot;/&gt;&lt;wsp:rsid wsp:val=&quot;00FF19BE&quot;/&gt;&lt;wsp:rsid wsp:val=&quot;00FF1B7C&quot;/&gt;&lt;wsp:rsid wsp:val=&quot;00FF1FE6&quot;/&gt;&lt;wsp:rsid wsp:val=&quot;00FF3014&quot;/&gt;&lt;wsp:rsid wsp:val=&quot;00FF3BFF&quot;/&gt;&lt;wsp:rsid wsp:val=&quot;00FF4DA0&quot;/&gt;&lt;wsp:rsid wsp:val=&quot;00FF52F6&quot;/&gt;&lt;wsp:rsid wsp:val=&quot;00FF5319&quot;/&gt;&lt;wsp:rsid wsp:val=&quot;00FF57B8&quot;/&gt;&lt;wsp:rsid wsp:val=&quot;00FF59CD&quot;/&gt;&lt;wsp:rsid wsp:val=&quot;00FF5CCA&quot;/&gt;&lt;wsp:rsid wsp:val=&quot;00FF6450&quot;/&gt;&lt;wsp:rsid wsp:val=&quot;00FF6661&quot;/&gt;&lt;wsp:rsid wsp:val=&quot;00FF6F84&quot;/&gt;&lt;wsp:rsid wsp:val=&quot;00FF70F0&quot;/&gt;&lt;wsp:rsid wsp:val=&quot;00FF7208&quot;/&gt;&lt;wsp:rsid wsp:val=&quot;00FF7A35&quot;/&gt;&lt;/wsp:rsids&gt;&lt;/w:docPr&gt;&lt;w:body&gt;&lt;wx:sect&gt;&lt;w:p wsp:rsidR=&quot;00000000&quot; wsp:rsidRPr=&quot;00E20EB6&quot; wsp:rsidRDefault=&quot;00E20EB6&quot; wsp:rsidP=&quot;00E20EB6&quot;&gt;&lt;m:oMathPara&gt;&lt;m:oMath&gt;&lt;m:r&gt;&lt;w:rPr&gt;&lt;w:rFonts w:ascii=&quot;Cambria Math&quot; w:h-ansi=&quot;Calibri&quot;/&gt;&lt;wx:font wx:val=&quot;Calibri&quot;/&gt;&lt;w:i/&gt;&lt;w:sz w:val=&quot;20&quot;/&gt;&lt;w:sz-cs w:val=&quot;20&quot;/&gt;&lt;/w:rPr&gt;&lt;m:t&gt;â†&lt;/m:t&gt;&lt;/m:r&gt;&lt;m:r&gt;&lt;w:rPr&gt;&lt;w:rFonts w:ascii=&quot;Cambria Math&quot; w:h-ansi=&quot;Calibri&quot;/&gt;&lt;wx:font wx:val=&quot;Cambria Math&quot;/&gt;&lt;w:i/&gt;&lt;w:sz w:val=&quot;20&quot;/&gt;&lt;w:sz-cs w:val=&quot;20&quot;/&gt;&lt;/w:rPr&gt;&lt;m:t&gt;=&lt;/m:t&gt;&lt;/m:r&gt;&lt;m:f&gt;&lt;m:fPr&gt;&lt;m:ctrlPr&gt;&lt;w:rPr&gt;&lt;w:rFonts w:ascii=&quot;Cambria Math&quot; w:h-ansi=&quot;Calibri&quot;/&gt;&lt;wx:font wx:val=&quot;Cambria Math&quot;/&gt;&lt;w:i/&gt;&lt;w:sz w:val=&quot;20&quot;/&gt;&lt;w:sz-cs w:val=&quot;20&quot;/&gt;&lt;/w:rPr&gt;&lt;/m:ctrlPr&gt;&lt;/m:fPr&gt;&lt;m:num&gt;&lt;m:r&gt;&lt;w:rPr&gt;&lt;w:rFonts w:ascii=&quot;Cambria Math&quot; w:h-ansi=&quot;Cambria Math&quot;/&gt;&lt;wx:font wx:val=&quot;Cambria Math&quot;/&gt;&lt;w:i/&gt;&lt;w:sz w:val=&quot;20&quot;/&gt;&lt;w:sz-cs w:val=&quot;20&quot;/&gt;&lt;/w:rPr&gt;&lt;m:t&gt;EN&lt;/m:t&gt;&lt;/m:r&gt;&lt;m:d&gt;&lt;m:dPr&gt;&lt;m:ctrlPr&gt;&lt;w:rPr&gt;&lt;w:rFonts w:ascii=&quot;Cambria Math&quot; w:h-ansi=&quot;Calibri&quot;/&gt;&lt;wx:font wx:val=&quot;Cambria Math&quot;/&gt;&lt;w:i/&gt;&lt;w:sz w:val=&quot;20&quot;/&gt;&lt;w:sz-cs w:val=&quot;20&quot;/&gt;&lt;/w:rPr&gt;&lt;/m:ctrlPr&gt;&lt;/m:dPr&gt;&lt;m:e&gt;&lt;m:r&gt;&lt;w:rPr&gt;&lt;w:rFonts w:ascii=&quot;Cambria Math&quot; w:h-ansi=&quot;Cambria Math&quot;/&gt;&lt;wx:font wx:val=&quot;Cambria Math&quot;/&gt;&lt;w:i/&gt;&lt;w:sz w:val=&quot;20&quot;/&gt;&lt;w:sz-cs w:val=&quot;20&quot;/&gt;&lt;/w:rPr&gt;&lt;m:t&gt;x&lt;/m:t&gt;&lt;/m:r&gt;&lt;/m:e&gt;&lt;/m:d&gt;&lt;m:r&gt;&lt;w:rPr&gt;&lt;w:rFonts w:ascii=&quot;Calibri&quot; w:h-ansi=&quot;Calibri&quot;/&gt;&lt;wx:font wx:val=&quot;Calibri&quot;/&gt;&lt;w:i/&gt;&lt;w:sz w:val=&quot;20&quot;/&gt;&lt;w:sz-cs w:val=&quot;20&quot;/&gt;&lt;/w:rPr&gt;&lt;m:t&gt;-&lt;/m:t&gt;&lt;/m:r&gt;&lt;m:r&gt;&lt;w:rPr&gt;&lt;w:rFonts w:ascii=&quot;Cambria Math&quot; w:h-ansi=&quot;Cambria Math&quot;/&gt;&lt;wx:font wx:val=&quot;Cambria Math&quot;/&gt;&lt;w:i/&gt;&lt;w:sz w:val=&quot;20&quot;/&gt;&lt;w:sz-cs w:val=&quot;20&quot;/&gt;&lt;/w:rPr&gt;&lt;m:t&gt;EN&lt;/m:t&gt;&lt;/m:r&gt;&lt;m:r&gt;&lt;w:rPr&gt;&lt;w:rFonts w:ascii=&quot;Cambria Math&quot; w:h-ansi=&quot;Calibri&quot;/&gt;&lt;wx:font wx:val=&quot;Cambria Math&quot;/&gt;&lt;w:i/&gt;&lt;w:sz w:val=&quot;20&quot;/&gt;&lt;w:sz-cs w:val=&quot;20&quot;/&gt;&lt;/w:rPr&gt;&lt;m:t&gt;(2013)&lt;/m:t&gt;&lt;/m:r&gt;&lt;/m:num&gt;&lt;m:den&gt;&lt;m:r&gt;&lt;w:rPr&gt;&lt;w:rFonts w:ascii=&quot;Cambria Math&quot; w:h-ansi=&quot;Cambria Math&quot;/&gt;&lt;wx:font wx:val=&quot;Cambria Math&quot;/&gt;&lt;w:i/&gt;&lt;w:sz w:val=&quot;20&quot;/&gt;&lt;w:sz-cs w:val=&quot;20&quot;/&gt;&lt;/w:rPr&gt;&lt;m:t&gt;EN&lt;/m:t&gt;&lt;/m:r&gt;&lt;m:r&gt;&lt;w:rPr&gt;&lt;w:rFonts w:ascii=&quot;Cambria Math&quot; w:h-ansi=&quot;Calibri&quot;/&gt;&lt;wx:font wx:val=&quot;Cambria Math&quot;/&gt;&lt;w:i/&gt;&lt;w:sz w:val=&quot;20&quot;/&gt;&lt;w:sz-cs w:val=&quot;20&quot;/&gt;&lt;/w:rPr&gt;&lt;m:t&gt;(2013)&lt;/m:t&gt;&lt;/m:r&gt;&lt;/m:den&gt;&lt;/m:f&gt;&lt;m:r&gt;&lt;w:rPr&gt;&lt;w:rFonts w:ascii=&quot;Cambria Math&quot; w:h-ansi=&quot;Cambria Math&quot;/&gt;&lt;wx:font wx:val=&quot;Cambria Math&quot;/&gt;&lt;w:i/&gt;&lt;w:sz w:val=&quot;20&quot;/&gt;&lt;w:sz-cs w:val=&quot;20&quot;/&gt;&lt;/w:rPr&gt;&lt;m:t&gt;*&lt;/m:t&gt;&lt;/m:r&gt;&lt;m:r&gt;&lt;w:rPr&gt;&lt;w:rFonts w:ascii=&quot;Cambria Math&quot; w:h-ansi=&quot;Calibri&quot;/&gt;&lt;wx:font wx:val=&quot;Cambria Math&quot;/&gt;&lt;w:i/&gt;&lt;w:sz w:val=&quot;20&quot;/&gt;&lt;w:sz-cs w:val=&quot;20&quot;/&gt;&lt;/w:rPr&gt;&lt;m:t&gt;100%&lt;/m:t&gt;&lt;/m:r&gt;&lt;/m:oMath&gt;&lt;/m:oMathPara&gt;&lt;/w:p&gt;&lt;w:sectPr wsp:rsidR=&quot;00000000&quot; wsp:rsidRPr=&quot;00E20EB6&quot;&gt;&lt;w:pgSz w:w=&quot;12240&quot; w:h=&quot;15840&quot;/&gt;&lt;w:pgMar w:top=&quot;1417&quot; w:right=&quot;1417&quot; w:bottom=&quot;1417&quot; w:left=&quot;1417&quot; w:header=&quot;708&quot; w:footer=&quot;708&quot; w:gutter=&quot;0&quot;/&gt;&lt;w:cols w:space=&quot;708&quot;/&gt;&lt;/w:sectPr&gt;&lt;/wx:sect&gt;&lt;/w:body&gt;&lt;/w:wordDocument&gt;">
            <v:imagedata r:id="rId38" o:title="" chromakey="white"/>
          </v:shape>
        </w:pict>
      </w:r>
    </w:p>
    <w:p w:rsidR="00FB2534" w:rsidRPr="002F1D04" w:rsidRDefault="00FB2534" w:rsidP="00EA51C7">
      <w:pPr>
        <w:rPr>
          <w:rFonts w:ascii="Calibri" w:hAnsi="Calibri"/>
          <w:sz w:val="20"/>
          <w:szCs w:val="20"/>
        </w:rPr>
      </w:pPr>
      <w:r w:rsidRPr="002F1D04">
        <w:rPr>
          <w:rFonts w:ascii="Calibri" w:hAnsi="Calibri"/>
          <w:sz w:val="20"/>
          <w:szCs w:val="20"/>
        </w:rPr>
        <w:t>gdzie:</w:t>
      </w:r>
    </w:p>
    <w:p w:rsidR="00FB2534" w:rsidRPr="002F1D04" w:rsidRDefault="00FB2534" w:rsidP="00EA51C7">
      <w:pPr>
        <w:pStyle w:val="GOMnormal"/>
      </w:pPr>
      <w:r w:rsidRPr="002F1D04">
        <w:t>EN(x) – zużycie energii w roku „x”; EN(x) = M(x)·WN(x)</w:t>
      </w:r>
      <w:r>
        <w:t>,</w:t>
      </w:r>
    </w:p>
    <w:p w:rsidR="00FB2534" w:rsidRPr="002F1D04" w:rsidRDefault="00FB2534" w:rsidP="00EA51C7">
      <w:pPr>
        <w:pStyle w:val="GOMnormal"/>
      </w:pPr>
      <w:r w:rsidRPr="002F1D04">
        <w:t>EN(2013) - zużycie energii w roku 2013; EN(2013) = M(2013)·WN(2013)</w:t>
      </w:r>
      <w:r>
        <w:t>,</w:t>
      </w:r>
    </w:p>
    <w:p w:rsidR="00FB2534" w:rsidRPr="002F1D04" w:rsidRDefault="00FB2534" w:rsidP="00EA51C7">
      <w:pPr>
        <w:pStyle w:val="GOMnormal"/>
      </w:pPr>
      <w:r>
        <w:t xml:space="preserve">M(x), M(2013) – ilości mieszkańców zamieszkujących </w:t>
      </w:r>
      <w:r w:rsidRPr="00B370C5">
        <w:t xml:space="preserve">gminę </w:t>
      </w:r>
      <w:r>
        <w:t xml:space="preserve">Malbork </w:t>
      </w:r>
      <w:r w:rsidRPr="002F1D04">
        <w:t>odpowiednio w latach „x” i 2013</w:t>
      </w:r>
      <w:r>
        <w:t>,</w:t>
      </w:r>
    </w:p>
    <w:p w:rsidR="00FB2534" w:rsidRPr="002F1D04" w:rsidRDefault="00FB2534" w:rsidP="00EA51C7">
      <w:pPr>
        <w:pStyle w:val="GOMnormal"/>
      </w:pPr>
      <w:r w:rsidRPr="002F1D04">
        <w:t xml:space="preserve">WN(x), WN(2013) – wskaźniki zużycia energii </w:t>
      </w:r>
      <w:r w:rsidRPr="00122DE5">
        <w:t>per capita</w:t>
      </w:r>
      <w:r w:rsidRPr="002F1D04">
        <w:t xml:space="preserve"> odpowiednio w latach „x” i 2013</w:t>
      </w:r>
      <w:r>
        <w:t>.</w:t>
      </w:r>
    </w:p>
    <w:p w:rsidR="00FB2534" w:rsidRPr="002F1D04" w:rsidRDefault="00FB2534" w:rsidP="00EA51C7">
      <w:pPr>
        <w:jc w:val="both"/>
        <w:rPr>
          <w:rFonts w:ascii="Calibri" w:hAnsi="Calibri"/>
          <w:sz w:val="20"/>
          <w:szCs w:val="20"/>
        </w:rPr>
      </w:pPr>
      <w:r w:rsidRPr="002F1D04">
        <w:rPr>
          <w:rFonts w:ascii="Calibri" w:hAnsi="Calibri"/>
          <w:sz w:val="20"/>
          <w:szCs w:val="20"/>
        </w:rPr>
        <w:t xml:space="preserve">Korzystając z danych GUS dla </w:t>
      </w:r>
      <w:r w:rsidRPr="00B370C5">
        <w:rPr>
          <w:rFonts w:ascii="Calibri" w:hAnsi="Calibri"/>
          <w:sz w:val="20"/>
          <w:szCs w:val="20"/>
        </w:rPr>
        <w:t xml:space="preserve">gminy </w:t>
      </w:r>
      <w:r>
        <w:rPr>
          <w:rFonts w:ascii="Calibri" w:hAnsi="Calibri"/>
          <w:sz w:val="20"/>
          <w:szCs w:val="20"/>
        </w:rPr>
        <w:t>Malbork</w:t>
      </w:r>
      <w:r w:rsidRPr="002F1D04">
        <w:rPr>
          <w:rFonts w:ascii="Calibri" w:hAnsi="Calibri"/>
          <w:sz w:val="20"/>
          <w:szCs w:val="20"/>
        </w:rPr>
        <w:t xml:space="preserve"> przeprowadzono obliczen</w:t>
      </w:r>
      <w:r>
        <w:rPr>
          <w:rFonts w:ascii="Calibri" w:hAnsi="Calibri"/>
          <w:sz w:val="20"/>
          <w:szCs w:val="20"/>
        </w:rPr>
        <w:t>ia zmienności zużycia energii w </w:t>
      </w:r>
      <w:r w:rsidRPr="002F1D04">
        <w:rPr>
          <w:rFonts w:ascii="Calibri" w:hAnsi="Calibri"/>
          <w:sz w:val="20"/>
          <w:szCs w:val="20"/>
        </w:rPr>
        <w:t xml:space="preserve">latach 1995-2013. </w:t>
      </w:r>
      <w:r>
        <w:rPr>
          <w:rFonts w:ascii="Calibri" w:hAnsi="Calibri"/>
          <w:sz w:val="20"/>
          <w:szCs w:val="20"/>
        </w:rPr>
        <w:t>W</w:t>
      </w:r>
      <w:r w:rsidRPr="002F1D04">
        <w:rPr>
          <w:rFonts w:ascii="Calibri" w:hAnsi="Calibri"/>
          <w:sz w:val="20"/>
          <w:szCs w:val="20"/>
        </w:rPr>
        <w:t>yniki prz</w:t>
      </w:r>
      <w:r>
        <w:rPr>
          <w:rFonts w:ascii="Calibri" w:hAnsi="Calibri"/>
          <w:sz w:val="20"/>
          <w:szCs w:val="20"/>
        </w:rPr>
        <w:t>edstawiono na wykresie p</w:t>
      </w:r>
      <w:r w:rsidRPr="002F1D04">
        <w:rPr>
          <w:rFonts w:ascii="Calibri" w:hAnsi="Calibri"/>
          <w:sz w:val="20"/>
          <w:szCs w:val="20"/>
        </w:rPr>
        <w:t>oniżej w postaci procentowych różnic zużycia energii w odniesieniu do roku 2013</w:t>
      </w:r>
      <w:r>
        <w:rPr>
          <w:rFonts w:ascii="Calibri" w:hAnsi="Calibri"/>
          <w:sz w:val="20"/>
          <w:szCs w:val="20"/>
        </w:rPr>
        <w:t>.</w:t>
      </w:r>
    </w:p>
    <w:p w:rsidR="00FB2534" w:rsidRPr="002F1D04" w:rsidRDefault="00FB2534" w:rsidP="00EA51C7">
      <w:pPr>
        <w:rPr>
          <w:rFonts w:ascii="Calibri" w:hAnsi="Calibri"/>
          <w:sz w:val="20"/>
          <w:szCs w:val="20"/>
          <w:highlight w:val="yellow"/>
        </w:rPr>
      </w:pPr>
    </w:p>
    <w:p w:rsidR="00FB2534" w:rsidRPr="002F1D04" w:rsidRDefault="00FB2534" w:rsidP="00EA51C7">
      <w:pPr>
        <w:jc w:val="center"/>
        <w:rPr>
          <w:rFonts w:ascii="Calibri" w:hAnsi="Calibri"/>
          <w:sz w:val="20"/>
          <w:szCs w:val="20"/>
          <w:highlight w:val="yellow"/>
        </w:rPr>
      </w:pPr>
      <w:r w:rsidRPr="003D1163">
        <w:rPr>
          <w:rFonts w:ascii="Calibri" w:hAnsi="Calibri"/>
          <w:noProof/>
          <w:sz w:val="20"/>
          <w:szCs w:val="20"/>
        </w:rPr>
        <w:pict>
          <v:shape id="Wykres 14" o:spid="_x0000_i1050" type="#_x0000_t75" style="width:433.5pt;height:211.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">
            <v:imagedata r:id="rId39" o:title="" cropbottom="-47f"/>
            <o:lock v:ext="edit" aspectratio="f"/>
          </v:shape>
        </w:pict>
      </w:r>
    </w:p>
    <w:p w:rsidR="00FB2534" w:rsidRDefault="00FB2534" w:rsidP="00EA51C7">
      <w:pPr>
        <w:pStyle w:val="GOMpodpistab"/>
      </w:pPr>
      <w:bookmarkStart w:id="191" w:name="_Toc422133291"/>
      <w:r>
        <w:t xml:space="preserve">Rysunek </w:t>
      </w:r>
      <w:r>
        <w:fldChar w:fldCharType="begin"/>
      </w:r>
      <w:r>
        <w:instrText xml:space="preserve"> SEQ Rysunek \* ARABIC </w:instrText>
      </w:r>
      <w:r>
        <w:fldChar w:fldCharType="separate"/>
      </w:r>
      <w:r>
        <w:rPr>
          <w:noProof/>
        </w:rPr>
        <w:t>18</w:t>
      </w:r>
      <w:r>
        <w:fldChar w:fldCharType="end"/>
      </w:r>
      <w:r>
        <w:t xml:space="preserve">. Zmiany zużycia energii finalnej w </w:t>
      </w:r>
      <w:r w:rsidRPr="00B370C5">
        <w:t xml:space="preserve">gminie </w:t>
      </w:r>
      <w:r>
        <w:t>Malbork w latach 1995-2013, w stosunku do roku bazowego 2013 [%] (źródło: opracowanie własne na podstawie danych GUS)</w:t>
      </w:r>
      <w:bookmarkEnd w:id="191"/>
    </w:p>
    <w:p w:rsidR="00FB2534" w:rsidRPr="002F1D04" w:rsidRDefault="00FB2534" w:rsidP="00EA51C7">
      <w:pPr>
        <w:pStyle w:val="GOMnormal"/>
      </w:pPr>
      <w:r w:rsidRPr="002F1D04">
        <w:t>Uzyskane wyniki prowadzą do następujących wniosków:</w:t>
      </w:r>
    </w:p>
    <w:p w:rsidR="00FB2534" w:rsidRPr="00934E4A" w:rsidRDefault="00FB2534" w:rsidP="00407562">
      <w:pPr>
        <w:pStyle w:val="GOMwypkt"/>
        <w:numPr>
          <w:ilvl w:val="0"/>
          <w:numId w:val="21"/>
        </w:numPr>
        <w:ind w:left="568" w:hanging="284"/>
      </w:pPr>
      <w:r w:rsidRPr="0016589F">
        <w:t>w latach 1996-</w:t>
      </w:r>
      <w:r>
        <w:t>1999</w:t>
      </w:r>
      <w:r w:rsidRPr="0016589F">
        <w:t xml:space="preserve"> nastąpiło obniżenie rocznego zużycia energii</w:t>
      </w:r>
      <w:r>
        <w:t xml:space="preserve"> w gminie Malbork, lecz od roku 2002</w:t>
      </w:r>
      <w:r w:rsidRPr="0016589F">
        <w:t xml:space="preserve"> zużycie to stopniowo wzrasta;</w:t>
      </w:r>
    </w:p>
    <w:p w:rsidR="00FB2534" w:rsidRPr="00C9613F" w:rsidRDefault="00FB2534" w:rsidP="00407562">
      <w:pPr>
        <w:pStyle w:val="GOMwypkt"/>
        <w:numPr>
          <w:ilvl w:val="0"/>
          <w:numId w:val="21"/>
        </w:numPr>
        <w:ind w:left="568" w:hanging="284"/>
      </w:pPr>
      <w:r>
        <w:t>w 2000</w:t>
      </w:r>
      <w:r w:rsidRPr="0016589F">
        <w:t xml:space="preserve"> roku zużycie energii </w:t>
      </w:r>
      <w:r>
        <w:t>było o 26</w:t>
      </w:r>
      <w:r w:rsidRPr="0016589F">
        <w:t>% niższe, niż w roku 2013.</w:t>
      </w:r>
    </w:p>
    <w:p w:rsidR="00FB2534" w:rsidRPr="00DA6DB9" w:rsidRDefault="00FB2534" w:rsidP="00F30B06">
      <w:pPr>
        <w:pStyle w:val="GOMnagl2"/>
        <w:ind w:left="720"/>
      </w:pPr>
      <w:bookmarkStart w:id="192" w:name="_Toc421012243"/>
      <w:bookmarkStart w:id="193" w:name="_Toc421268997"/>
      <w:bookmarkStart w:id="194" w:name="_Toc422133344"/>
      <w:bookmarkStart w:id="195" w:name="_Toc415574872"/>
      <w:bookmarkStart w:id="196" w:name="_Toc416348890"/>
      <w:bookmarkStart w:id="197" w:name="_Toc412201399"/>
      <w:r w:rsidRPr="00DA6DB9">
        <w:t>Zestawienie emisji zanieczyszczeń powietrza z Bazy Danych PGN GOM</w:t>
      </w:r>
      <w:bookmarkEnd w:id="192"/>
      <w:bookmarkEnd w:id="193"/>
      <w:bookmarkEnd w:id="194"/>
    </w:p>
    <w:p w:rsidR="00FB2534" w:rsidRPr="00DA6DB9" w:rsidRDefault="00FB2534" w:rsidP="00F30B06">
      <w:pPr>
        <w:pStyle w:val="GOMnormal"/>
        <w:rPr>
          <w:lang w:eastAsia="ar-SA"/>
        </w:rPr>
      </w:pPr>
      <w:r w:rsidRPr="00DA6DB9">
        <w:rPr>
          <w:lang w:eastAsia="ar-SA"/>
        </w:rPr>
        <w:t>Na potrzeby inwentaryzacji emisji dwutlenku węgla na obszarze Gdańskiego Obszaru Metropolitalnego objętego PGN przygotowano bazę danych, w której zgromadzono dane o zużyciu poszczególnych paliw, energii finalnej oraz emisji substancji do powietrza. Poza danymi o emisji CO</w:t>
      </w:r>
      <w:r w:rsidRPr="00DA6DB9">
        <w:rPr>
          <w:vertAlign w:val="subscript"/>
          <w:lang w:eastAsia="ar-SA"/>
        </w:rPr>
        <w:t>2</w:t>
      </w:r>
      <w:r w:rsidRPr="00DA6DB9">
        <w:rPr>
          <w:lang w:eastAsia="ar-SA"/>
        </w:rPr>
        <w:t xml:space="preserve"> baza zawiera również informacje o emisji podstawowych zanieczyszczeń powietrza: pyłu zawieszonego PM10 i PM2,5, benzo(a)pirenu, SO</w:t>
      </w:r>
      <w:r w:rsidRPr="00DA6DB9">
        <w:rPr>
          <w:vertAlign w:val="subscript"/>
          <w:lang w:eastAsia="ar-SA"/>
        </w:rPr>
        <w:t>2</w:t>
      </w:r>
      <w:r w:rsidRPr="00DA6DB9">
        <w:rPr>
          <w:lang w:eastAsia="ar-SA"/>
        </w:rPr>
        <w:t xml:space="preserve"> i NO</w:t>
      </w:r>
      <w:r w:rsidRPr="00DA6DB9">
        <w:rPr>
          <w:vertAlign w:val="subscript"/>
          <w:lang w:eastAsia="ar-SA"/>
        </w:rPr>
        <w:t>2</w:t>
      </w:r>
      <w:r w:rsidRPr="00DA6DB9">
        <w:rPr>
          <w:lang w:eastAsia="ar-SA"/>
        </w:rPr>
        <w:t xml:space="preserve"> w podziale na poszczególne sektory. </w:t>
      </w:r>
    </w:p>
    <w:p w:rsidR="00FB2534" w:rsidRPr="00DA6DB9" w:rsidRDefault="00FB2534" w:rsidP="00F30B06">
      <w:pPr>
        <w:pStyle w:val="GOMnormal"/>
      </w:pPr>
      <w:r w:rsidRPr="00DA6DB9">
        <w:t>Z uwagi na fakt, że nie uzyskano informacji w formie szczegółowych ankiet z</w:t>
      </w:r>
      <w:r>
        <w:t xml:space="preserve"> </w:t>
      </w:r>
      <w:r w:rsidRPr="00DA6DB9">
        <w:t>budynków użyteczności publicznej</w:t>
      </w:r>
      <w:r>
        <w:t xml:space="preserve"> w Gminie Wiejskiej Malbork,</w:t>
      </w:r>
      <w:r w:rsidRPr="00DA6DB9">
        <w:t xml:space="preserve"> do obliczeń wielkości emisji poszczególnych zanieczyszczeń powietrza przyjęto dan</w:t>
      </w:r>
      <w:r>
        <w:t xml:space="preserve">e z planu zaopatrzenia w ciepło </w:t>
      </w:r>
      <w:r w:rsidRPr="00DA6DB9">
        <w:t>w przypadku oleju opałowego i paliw stałych (np. węgiel)</w:t>
      </w:r>
      <w:r>
        <w:t>.</w:t>
      </w:r>
    </w:p>
    <w:p w:rsidR="00FB2534" w:rsidRPr="00DA6DB9" w:rsidRDefault="00FB2534" w:rsidP="00F30B06">
      <w:pPr>
        <w:pStyle w:val="GOMnormal"/>
        <w:rPr>
          <w:lang w:eastAsia="ar-SA"/>
        </w:rPr>
      </w:pPr>
      <w:r w:rsidRPr="00DA6DB9">
        <w:rPr>
          <w:lang w:eastAsia="ar-SA"/>
        </w:rPr>
        <w:t>Poniżej przedstawiono zestawienie emisji wyżej wymienionych zanieczyszczeń z przedmiotowej bazy dla Gminy Wiejskiej Malbork w podziale na poszczególne sektory objęte inwentaryzacją.</w:t>
      </w:r>
    </w:p>
    <w:p w:rsidR="00FB2534" w:rsidRPr="00AC1CBB" w:rsidRDefault="00FB2534">
      <w:pPr>
        <w:rPr>
          <w:rFonts w:ascii="Calibri" w:hAnsi="Calibri"/>
          <w:bCs/>
          <w:i/>
          <w:sz w:val="18"/>
          <w:szCs w:val="18"/>
        </w:rPr>
      </w:pPr>
      <w:bookmarkStart w:id="198" w:name="_Toc421268917"/>
      <w:r w:rsidRPr="00AC1CBB">
        <w:rPr>
          <w:rFonts w:ascii="Calibri" w:hAnsi="Calibri"/>
          <w:sz w:val="18"/>
        </w:rPr>
        <w:br w:type="page"/>
      </w:r>
    </w:p>
    <w:p w:rsidR="00FB2534" w:rsidRPr="00AC1CBB" w:rsidRDefault="00FB2534" w:rsidP="00F30B06">
      <w:pPr>
        <w:pStyle w:val="Caption"/>
        <w:keepNext/>
        <w:rPr>
          <w:rFonts w:ascii="Calibri" w:hAnsi="Calibri"/>
          <w:sz w:val="18"/>
        </w:rPr>
      </w:pPr>
      <w:bookmarkStart w:id="199" w:name="_Toc422135111"/>
      <w:r w:rsidRPr="00AC1CBB">
        <w:rPr>
          <w:rFonts w:ascii="Calibri" w:hAnsi="Calibri"/>
          <w:sz w:val="18"/>
        </w:rPr>
        <w:t xml:space="preserve">Tabela </w:t>
      </w:r>
      <w:r w:rsidRPr="00AC1CBB">
        <w:rPr>
          <w:rFonts w:ascii="Calibri" w:hAnsi="Calibri"/>
          <w:sz w:val="18"/>
        </w:rPr>
        <w:fldChar w:fldCharType="begin"/>
      </w:r>
      <w:r w:rsidRPr="00AC1CBB">
        <w:rPr>
          <w:rFonts w:ascii="Calibri" w:hAnsi="Calibri"/>
          <w:sz w:val="18"/>
        </w:rPr>
        <w:instrText xml:space="preserve"> SEQ Tabela \* ARABIC </w:instrText>
      </w:r>
      <w:r w:rsidRPr="00AC1CBB">
        <w:rPr>
          <w:rFonts w:ascii="Calibri" w:hAnsi="Calibri"/>
          <w:sz w:val="18"/>
        </w:rPr>
        <w:fldChar w:fldCharType="separate"/>
      </w:r>
      <w:r>
        <w:rPr>
          <w:rFonts w:ascii="Calibri" w:hAnsi="Calibri"/>
          <w:noProof/>
          <w:sz w:val="18"/>
        </w:rPr>
        <w:t>18</w:t>
      </w:r>
      <w:r w:rsidRPr="00AC1CBB">
        <w:rPr>
          <w:rFonts w:ascii="Calibri" w:hAnsi="Calibri"/>
          <w:sz w:val="18"/>
        </w:rPr>
        <w:fldChar w:fldCharType="end"/>
      </w:r>
      <w:r w:rsidRPr="00AC1CBB">
        <w:rPr>
          <w:rFonts w:ascii="Calibri" w:hAnsi="Calibri"/>
          <w:sz w:val="18"/>
        </w:rPr>
        <w:t>. Wielkości emisji zanieczyszczeń powietrza ujętych w Bazie Danych PGN GOM dla Gminy Wiejskiej Malbork</w:t>
      </w:r>
      <w:bookmarkEnd w:id="198"/>
      <w:bookmarkEnd w:id="199"/>
    </w:p>
    <w:tbl>
      <w:tblPr>
        <w:tblW w:w="9340" w:type="dxa"/>
        <w:tblInd w:w="75" w:type="dxa"/>
        <w:tblCellMar>
          <w:left w:w="70" w:type="dxa"/>
          <w:right w:w="70" w:type="dxa"/>
        </w:tblCellMar>
        <w:tblLook w:val="00A0" w:firstRow="1" w:lastRow="0" w:firstColumn="1" w:lastColumn="0" w:noHBand="0" w:noVBand="0"/>
      </w:tblPr>
      <w:tblGrid>
        <w:gridCol w:w="2740"/>
        <w:gridCol w:w="1320"/>
        <w:gridCol w:w="1320"/>
        <w:gridCol w:w="1320"/>
        <w:gridCol w:w="1320"/>
        <w:gridCol w:w="1320"/>
      </w:tblGrid>
      <w:tr w:rsidR="00FB2534" w:rsidTr="001D6A64">
        <w:trPr>
          <w:trHeight w:val="255"/>
        </w:trPr>
        <w:tc>
          <w:tcPr>
            <w:tcW w:w="2740" w:type="dxa"/>
            <w:vMerge w:val="restart"/>
            <w:tcBorders>
              <w:top w:val="single" w:sz="4" w:space="0" w:color="auto"/>
              <w:left w:val="single" w:sz="4" w:space="0" w:color="auto"/>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sektor</w:t>
            </w:r>
          </w:p>
        </w:tc>
        <w:tc>
          <w:tcPr>
            <w:tcW w:w="6600" w:type="dxa"/>
            <w:gridSpan w:val="5"/>
            <w:tcBorders>
              <w:top w:val="single" w:sz="4" w:space="0" w:color="auto"/>
              <w:left w:val="nil"/>
              <w:bottom w:val="single" w:sz="4" w:space="0" w:color="auto"/>
              <w:right w:val="single" w:sz="4" w:space="0" w:color="000000"/>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emisja zanieczyszczeń do powietrza w poszczególnych sektorów ujętych w PGN</w:t>
            </w:r>
          </w:p>
        </w:tc>
      </w:tr>
      <w:tr w:rsidR="00FB2534" w:rsidTr="001D6A64">
        <w:trPr>
          <w:trHeight w:val="270"/>
        </w:trPr>
        <w:tc>
          <w:tcPr>
            <w:tcW w:w="2740" w:type="dxa"/>
            <w:vMerge/>
            <w:tcBorders>
              <w:top w:val="single" w:sz="4" w:space="0" w:color="auto"/>
              <w:left w:val="single" w:sz="4" w:space="0" w:color="auto"/>
              <w:bottom w:val="single" w:sz="4" w:space="0" w:color="auto"/>
              <w:right w:val="single" w:sz="4" w:space="0" w:color="auto"/>
            </w:tcBorders>
            <w:vAlign w:val="center"/>
          </w:tcPr>
          <w:p w:rsidR="00FB2534" w:rsidRDefault="00FB2534" w:rsidP="001D6A64">
            <w:pPr>
              <w:rPr>
                <w:rFonts w:ascii="Calibri" w:hAnsi="Calibri"/>
                <w:b/>
                <w:bCs/>
                <w:sz w:val="18"/>
                <w:szCs w:val="18"/>
              </w:rPr>
            </w:pPr>
          </w:p>
        </w:tc>
        <w:tc>
          <w:tcPr>
            <w:tcW w:w="1320" w:type="dxa"/>
            <w:tcBorders>
              <w:top w:val="nil"/>
              <w:left w:val="nil"/>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PM10</w:t>
            </w:r>
          </w:p>
        </w:tc>
        <w:tc>
          <w:tcPr>
            <w:tcW w:w="1320" w:type="dxa"/>
            <w:tcBorders>
              <w:top w:val="nil"/>
              <w:left w:val="nil"/>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PM2,5</w:t>
            </w:r>
          </w:p>
        </w:tc>
        <w:tc>
          <w:tcPr>
            <w:tcW w:w="1320" w:type="dxa"/>
            <w:tcBorders>
              <w:top w:val="nil"/>
              <w:left w:val="nil"/>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B(a)P</w:t>
            </w:r>
          </w:p>
        </w:tc>
        <w:tc>
          <w:tcPr>
            <w:tcW w:w="1320" w:type="dxa"/>
            <w:tcBorders>
              <w:top w:val="nil"/>
              <w:left w:val="nil"/>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SO</w:t>
            </w:r>
            <w:r>
              <w:rPr>
                <w:rFonts w:ascii="Calibri" w:hAnsi="Calibri"/>
                <w:b/>
                <w:bCs/>
                <w:sz w:val="18"/>
                <w:szCs w:val="18"/>
                <w:vertAlign w:val="subscript"/>
              </w:rPr>
              <w:t>2</w:t>
            </w:r>
          </w:p>
        </w:tc>
        <w:tc>
          <w:tcPr>
            <w:tcW w:w="1320" w:type="dxa"/>
            <w:tcBorders>
              <w:top w:val="nil"/>
              <w:left w:val="nil"/>
              <w:bottom w:val="single" w:sz="4" w:space="0" w:color="auto"/>
              <w:right w:val="single" w:sz="4" w:space="0" w:color="auto"/>
            </w:tcBorders>
            <w:shd w:val="clear" w:color="000000" w:fill="BFBFBF"/>
            <w:vAlign w:val="center"/>
          </w:tcPr>
          <w:p w:rsidR="00FB2534" w:rsidRDefault="00FB2534" w:rsidP="001D6A64">
            <w:pPr>
              <w:jc w:val="center"/>
              <w:rPr>
                <w:rFonts w:ascii="Calibri" w:hAnsi="Calibri"/>
                <w:b/>
                <w:bCs/>
                <w:sz w:val="18"/>
                <w:szCs w:val="18"/>
              </w:rPr>
            </w:pPr>
            <w:r>
              <w:rPr>
                <w:rFonts w:ascii="Calibri" w:hAnsi="Calibri"/>
                <w:b/>
                <w:bCs/>
                <w:sz w:val="18"/>
                <w:szCs w:val="18"/>
              </w:rPr>
              <w:t>NO</w:t>
            </w:r>
            <w:r>
              <w:rPr>
                <w:rFonts w:ascii="Calibri" w:hAnsi="Calibri"/>
                <w:b/>
                <w:bCs/>
                <w:sz w:val="18"/>
                <w:szCs w:val="18"/>
                <w:vertAlign w:val="subscript"/>
              </w:rPr>
              <w:t>2</w:t>
            </w:r>
          </w:p>
        </w:tc>
      </w:tr>
      <w:tr w:rsidR="00FB2534" w:rsidTr="001D6A64">
        <w:trPr>
          <w:trHeight w:val="255"/>
        </w:trPr>
        <w:tc>
          <w:tcPr>
            <w:tcW w:w="2740" w:type="dxa"/>
            <w:vMerge/>
            <w:tcBorders>
              <w:top w:val="single" w:sz="4" w:space="0" w:color="auto"/>
              <w:left w:val="single" w:sz="4" w:space="0" w:color="auto"/>
              <w:bottom w:val="single" w:sz="4" w:space="0" w:color="auto"/>
              <w:right w:val="single" w:sz="4" w:space="0" w:color="auto"/>
            </w:tcBorders>
            <w:vAlign w:val="center"/>
          </w:tcPr>
          <w:p w:rsidR="00FB2534" w:rsidRDefault="00FB2534" w:rsidP="001D6A64">
            <w:pPr>
              <w:rPr>
                <w:rFonts w:ascii="Calibri" w:hAnsi="Calibri"/>
                <w:b/>
                <w:bCs/>
                <w:sz w:val="18"/>
                <w:szCs w:val="18"/>
              </w:rPr>
            </w:pPr>
          </w:p>
        </w:tc>
        <w:tc>
          <w:tcPr>
            <w:tcW w:w="1320" w:type="dxa"/>
            <w:tcBorders>
              <w:top w:val="nil"/>
              <w:left w:val="nil"/>
              <w:bottom w:val="single" w:sz="4" w:space="0" w:color="auto"/>
              <w:right w:val="single" w:sz="4" w:space="0" w:color="auto"/>
            </w:tcBorders>
            <w:shd w:val="clear" w:color="000000" w:fill="BFBFBF"/>
            <w:noWrap/>
            <w:vAlign w:val="center"/>
          </w:tcPr>
          <w:p w:rsidR="00FB2534" w:rsidRDefault="00FB2534" w:rsidP="001D6A64">
            <w:pPr>
              <w:jc w:val="center"/>
              <w:rPr>
                <w:rFonts w:ascii="Calibri" w:hAnsi="Calibri"/>
                <w:b/>
                <w:bCs/>
                <w:sz w:val="18"/>
                <w:szCs w:val="18"/>
              </w:rPr>
            </w:pPr>
            <w:r>
              <w:rPr>
                <w:rFonts w:ascii="Calibri" w:hAnsi="Calibri"/>
                <w:b/>
                <w:bCs/>
                <w:sz w:val="18"/>
                <w:szCs w:val="18"/>
              </w:rPr>
              <w:t>[Mg/rok]</w:t>
            </w:r>
          </w:p>
        </w:tc>
        <w:tc>
          <w:tcPr>
            <w:tcW w:w="1320" w:type="dxa"/>
            <w:tcBorders>
              <w:top w:val="nil"/>
              <w:left w:val="nil"/>
              <w:bottom w:val="single" w:sz="4" w:space="0" w:color="auto"/>
              <w:right w:val="single" w:sz="4" w:space="0" w:color="auto"/>
            </w:tcBorders>
            <w:shd w:val="clear" w:color="000000" w:fill="BFBFBF"/>
            <w:noWrap/>
            <w:vAlign w:val="center"/>
          </w:tcPr>
          <w:p w:rsidR="00FB2534" w:rsidRDefault="00FB2534" w:rsidP="001D6A64">
            <w:pPr>
              <w:jc w:val="center"/>
              <w:rPr>
                <w:rFonts w:ascii="Calibri" w:hAnsi="Calibri"/>
                <w:b/>
                <w:bCs/>
                <w:sz w:val="18"/>
                <w:szCs w:val="18"/>
              </w:rPr>
            </w:pPr>
            <w:r>
              <w:rPr>
                <w:rFonts w:ascii="Calibri" w:hAnsi="Calibri"/>
                <w:b/>
                <w:bCs/>
                <w:sz w:val="18"/>
                <w:szCs w:val="18"/>
              </w:rPr>
              <w:t>[Mg/rok]</w:t>
            </w:r>
          </w:p>
        </w:tc>
        <w:tc>
          <w:tcPr>
            <w:tcW w:w="1320" w:type="dxa"/>
            <w:tcBorders>
              <w:top w:val="nil"/>
              <w:left w:val="nil"/>
              <w:bottom w:val="single" w:sz="4" w:space="0" w:color="auto"/>
              <w:right w:val="single" w:sz="4" w:space="0" w:color="auto"/>
            </w:tcBorders>
            <w:shd w:val="clear" w:color="000000" w:fill="BFBFBF"/>
            <w:noWrap/>
            <w:vAlign w:val="center"/>
          </w:tcPr>
          <w:p w:rsidR="00FB2534" w:rsidRDefault="00FB2534" w:rsidP="001D6A64">
            <w:pPr>
              <w:jc w:val="center"/>
              <w:rPr>
                <w:rFonts w:ascii="Calibri" w:hAnsi="Calibri"/>
                <w:b/>
                <w:bCs/>
                <w:sz w:val="18"/>
                <w:szCs w:val="18"/>
              </w:rPr>
            </w:pPr>
            <w:r>
              <w:rPr>
                <w:rFonts w:ascii="Calibri" w:hAnsi="Calibri"/>
                <w:b/>
                <w:bCs/>
                <w:sz w:val="18"/>
                <w:szCs w:val="18"/>
              </w:rPr>
              <w:t>[Mg/rok]</w:t>
            </w:r>
          </w:p>
        </w:tc>
        <w:tc>
          <w:tcPr>
            <w:tcW w:w="1320" w:type="dxa"/>
            <w:tcBorders>
              <w:top w:val="nil"/>
              <w:left w:val="nil"/>
              <w:bottom w:val="single" w:sz="4" w:space="0" w:color="auto"/>
              <w:right w:val="single" w:sz="4" w:space="0" w:color="auto"/>
            </w:tcBorders>
            <w:shd w:val="clear" w:color="000000" w:fill="BFBFBF"/>
            <w:noWrap/>
            <w:vAlign w:val="center"/>
          </w:tcPr>
          <w:p w:rsidR="00FB2534" w:rsidRDefault="00FB2534" w:rsidP="001D6A64">
            <w:pPr>
              <w:jc w:val="center"/>
              <w:rPr>
                <w:rFonts w:ascii="Calibri" w:hAnsi="Calibri"/>
                <w:b/>
                <w:bCs/>
                <w:sz w:val="18"/>
                <w:szCs w:val="18"/>
              </w:rPr>
            </w:pPr>
            <w:r>
              <w:rPr>
                <w:rFonts w:ascii="Calibri" w:hAnsi="Calibri"/>
                <w:b/>
                <w:bCs/>
                <w:sz w:val="18"/>
                <w:szCs w:val="18"/>
              </w:rPr>
              <w:t>[Mg/rok]</w:t>
            </w:r>
          </w:p>
        </w:tc>
        <w:tc>
          <w:tcPr>
            <w:tcW w:w="1320" w:type="dxa"/>
            <w:tcBorders>
              <w:top w:val="nil"/>
              <w:left w:val="nil"/>
              <w:bottom w:val="single" w:sz="4" w:space="0" w:color="auto"/>
              <w:right w:val="single" w:sz="4" w:space="0" w:color="auto"/>
            </w:tcBorders>
            <w:shd w:val="clear" w:color="000000" w:fill="BFBFBF"/>
            <w:noWrap/>
            <w:vAlign w:val="center"/>
          </w:tcPr>
          <w:p w:rsidR="00FB2534" w:rsidRDefault="00FB2534" w:rsidP="001D6A64">
            <w:pPr>
              <w:jc w:val="center"/>
              <w:rPr>
                <w:rFonts w:ascii="Calibri" w:hAnsi="Calibri"/>
                <w:b/>
                <w:bCs/>
                <w:sz w:val="18"/>
                <w:szCs w:val="18"/>
              </w:rPr>
            </w:pPr>
            <w:r>
              <w:rPr>
                <w:rFonts w:ascii="Calibri" w:hAnsi="Calibri"/>
                <w:b/>
                <w:bCs/>
                <w:sz w:val="18"/>
                <w:szCs w:val="18"/>
              </w:rPr>
              <w:t>[Mg/rok]</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budynki użyteczności publicznej</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6,430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6,335</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0,004</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14,586</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1,951</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budynki mieszkalne</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40,212</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39,536</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0,020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74,307</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10,342</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handel i usługi</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1,262</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1,240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0,001</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2,360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0,316</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transport</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17,701</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16,651</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5,763</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83,849</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przemysł</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energetyka</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0,000</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rPr>
                <w:rFonts w:ascii="Calibri" w:hAnsi="Calibri"/>
                <w:color w:val="000000"/>
                <w:sz w:val="18"/>
                <w:szCs w:val="18"/>
              </w:rPr>
            </w:pPr>
            <w:r>
              <w:rPr>
                <w:rFonts w:ascii="Calibri" w:hAnsi="Calibri"/>
                <w:color w:val="000000"/>
                <w:sz w:val="18"/>
                <w:szCs w:val="18"/>
              </w:rPr>
              <w:t>rolnictwo</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20,301</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3,497</w:t>
            </w:r>
          </w:p>
        </w:tc>
        <w:tc>
          <w:tcPr>
            <w:tcW w:w="1320" w:type="dxa"/>
            <w:tcBorders>
              <w:top w:val="nil"/>
              <w:left w:val="nil"/>
              <w:bottom w:val="single" w:sz="4" w:space="0" w:color="auto"/>
              <w:right w:val="single" w:sz="4" w:space="0" w:color="auto"/>
            </w:tcBorders>
            <w:shd w:val="clear" w:color="000000" w:fill="D9D9D9"/>
            <w:noWrap/>
            <w:vAlign w:val="center"/>
          </w:tcPr>
          <w:p w:rsidR="00FB2534" w:rsidRDefault="00FB2534">
            <w:pPr>
              <w:rPr>
                <w:rFonts w:ascii="Calibri" w:hAnsi="Calibri" w:cs="Calibri"/>
                <w:color w:val="000000"/>
                <w:sz w:val="18"/>
                <w:szCs w:val="18"/>
              </w:rPr>
            </w:pPr>
            <w:r>
              <w:rPr>
                <w:rFonts w:ascii="Calibri" w:hAnsi="Calibri" w:cs="Calibri"/>
                <w:color w:val="000000"/>
                <w:sz w:val="18"/>
                <w:szCs w:val="18"/>
              </w:rPr>
              <w:t> </w:t>
            </w:r>
          </w:p>
        </w:tc>
        <w:tc>
          <w:tcPr>
            <w:tcW w:w="1320" w:type="dxa"/>
            <w:tcBorders>
              <w:top w:val="nil"/>
              <w:left w:val="nil"/>
              <w:bottom w:val="single" w:sz="4" w:space="0" w:color="auto"/>
              <w:right w:val="single" w:sz="4" w:space="0" w:color="auto"/>
            </w:tcBorders>
            <w:shd w:val="clear" w:color="000000" w:fill="D9D9D9"/>
            <w:noWrap/>
            <w:vAlign w:val="center"/>
          </w:tcPr>
          <w:p w:rsidR="00FB2534" w:rsidRDefault="00FB2534">
            <w:pPr>
              <w:rPr>
                <w:rFonts w:ascii="Calibri" w:hAnsi="Calibri" w:cs="Calibri"/>
                <w:color w:val="000000"/>
                <w:sz w:val="18"/>
                <w:szCs w:val="18"/>
              </w:rPr>
            </w:pPr>
            <w:r>
              <w:rPr>
                <w:rFonts w:ascii="Calibri" w:hAnsi="Calibri" w:cs="Calibri"/>
                <w:color w:val="000000"/>
                <w:sz w:val="18"/>
                <w:szCs w:val="18"/>
              </w:rPr>
              <w:t> </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color w:val="000000"/>
                <w:sz w:val="18"/>
                <w:szCs w:val="18"/>
              </w:rPr>
            </w:pPr>
            <w:r>
              <w:rPr>
                <w:rFonts w:ascii="Calibri" w:hAnsi="Calibri" w:cs="Calibri"/>
                <w:color w:val="000000"/>
                <w:sz w:val="18"/>
                <w:szCs w:val="18"/>
              </w:rPr>
              <w:t>50,754</w:t>
            </w:r>
          </w:p>
        </w:tc>
      </w:tr>
      <w:tr w:rsidR="00FB2534" w:rsidTr="001D6A64">
        <w:trPr>
          <w:trHeight w:val="255"/>
        </w:trPr>
        <w:tc>
          <w:tcPr>
            <w:tcW w:w="2740" w:type="dxa"/>
            <w:tcBorders>
              <w:top w:val="nil"/>
              <w:left w:val="single" w:sz="4" w:space="0" w:color="auto"/>
              <w:bottom w:val="single" w:sz="4" w:space="0" w:color="auto"/>
              <w:right w:val="single" w:sz="4" w:space="0" w:color="auto"/>
            </w:tcBorders>
            <w:noWrap/>
            <w:vAlign w:val="center"/>
          </w:tcPr>
          <w:p w:rsidR="00FB2534" w:rsidRDefault="00FB2534" w:rsidP="001D6A64">
            <w:pPr>
              <w:jc w:val="right"/>
              <w:rPr>
                <w:rFonts w:ascii="Calibri" w:hAnsi="Calibri"/>
                <w:b/>
                <w:bCs/>
                <w:color w:val="000000"/>
                <w:sz w:val="18"/>
                <w:szCs w:val="18"/>
              </w:rPr>
            </w:pPr>
            <w:r>
              <w:rPr>
                <w:rFonts w:ascii="Calibri" w:hAnsi="Calibri"/>
                <w:b/>
                <w:bCs/>
                <w:color w:val="000000"/>
                <w:sz w:val="18"/>
                <w:szCs w:val="18"/>
              </w:rPr>
              <w:t>RAZEM</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b/>
                <w:bCs/>
                <w:color w:val="000000"/>
                <w:sz w:val="18"/>
                <w:szCs w:val="18"/>
              </w:rPr>
            </w:pPr>
            <w:r>
              <w:rPr>
                <w:rFonts w:ascii="Calibri" w:hAnsi="Calibri" w:cs="Calibri"/>
                <w:b/>
                <w:bCs/>
                <w:color w:val="000000"/>
                <w:sz w:val="18"/>
                <w:szCs w:val="18"/>
              </w:rPr>
              <w:t>85,906</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b/>
                <w:bCs/>
                <w:color w:val="000000"/>
                <w:sz w:val="18"/>
                <w:szCs w:val="18"/>
              </w:rPr>
            </w:pPr>
            <w:r>
              <w:rPr>
                <w:rFonts w:ascii="Calibri" w:hAnsi="Calibri" w:cs="Calibri"/>
                <w:b/>
                <w:bCs/>
                <w:color w:val="000000"/>
                <w:sz w:val="18"/>
                <w:szCs w:val="18"/>
              </w:rPr>
              <w:t>67,259</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b/>
                <w:bCs/>
                <w:color w:val="000000"/>
                <w:sz w:val="18"/>
                <w:szCs w:val="18"/>
              </w:rPr>
            </w:pPr>
            <w:r>
              <w:rPr>
                <w:rFonts w:ascii="Calibri" w:hAnsi="Calibri" w:cs="Calibri"/>
                <w:b/>
                <w:bCs/>
                <w:color w:val="000000"/>
                <w:sz w:val="18"/>
                <w:szCs w:val="18"/>
              </w:rPr>
              <w:t>0,025</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b/>
                <w:bCs/>
                <w:color w:val="000000"/>
                <w:sz w:val="18"/>
                <w:szCs w:val="18"/>
              </w:rPr>
            </w:pPr>
            <w:r>
              <w:rPr>
                <w:rFonts w:ascii="Calibri" w:hAnsi="Calibri" w:cs="Calibri"/>
                <w:b/>
                <w:bCs/>
                <w:color w:val="000000"/>
                <w:sz w:val="18"/>
                <w:szCs w:val="18"/>
              </w:rPr>
              <w:t>97,016</w:t>
            </w:r>
          </w:p>
        </w:tc>
        <w:tc>
          <w:tcPr>
            <w:tcW w:w="1320" w:type="dxa"/>
            <w:tcBorders>
              <w:top w:val="nil"/>
              <w:left w:val="nil"/>
              <w:bottom w:val="single" w:sz="4" w:space="0" w:color="auto"/>
              <w:right w:val="single" w:sz="4" w:space="0" w:color="auto"/>
            </w:tcBorders>
            <w:noWrap/>
            <w:vAlign w:val="center"/>
          </w:tcPr>
          <w:p w:rsidR="00FB2534" w:rsidRDefault="00FB2534">
            <w:pPr>
              <w:jc w:val="right"/>
              <w:rPr>
                <w:rFonts w:ascii="Calibri" w:hAnsi="Calibri" w:cs="Calibri"/>
                <w:b/>
                <w:bCs/>
                <w:color w:val="000000"/>
                <w:sz w:val="18"/>
                <w:szCs w:val="18"/>
              </w:rPr>
            </w:pPr>
            <w:r>
              <w:rPr>
                <w:rFonts w:ascii="Calibri" w:hAnsi="Calibri" w:cs="Calibri"/>
                <w:b/>
                <w:bCs/>
                <w:color w:val="000000"/>
                <w:sz w:val="18"/>
                <w:szCs w:val="18"/>
              </w:rPr>
              <w:t>147,212</w:t>
            </w:r>
          </w:p>
        </w:tc>
      </w:tr>
    </w:tbl>
    <w:p w:rsidR="00FB2534" w:rsidRDefault="00FB2534" w:rsidP="00F30B06">
      <w:pPr>
        <w:pStyle w:val="GOMnormal"/>
        <w:rPr>
          <w:noProof/>
        </w:rPr>
      </w:pPr>
    </w:p>
    <w:p w:rsidR="00FB2534" w:rsidRDefault="00FB2534" w:rsidP="00F30B06">
      <w:pPr>
        <w:pStyle w:val="GOMnormal"/>
        <w:keepNext/>
      </w:pPr>
      <w:r>
        <w:rPr>
          <w:noProof/>
        </w:rPr>
        <w:pict>
          <v:shape id="_x0000_i1051" type="#_x0000_t75" style="width:433.5pt;height:245.25pt;visibility:visible" o:gfxdata="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">
            <v:imagedata r:id="rId40" o:title=""/>
            <o:lock v:ext="edit" aspectratio="f"/>
          </v:shape>
        </w:pict>
      </w:r>
    </w:p>
    <w:p w:rsidR="00FB2534" w:rsidRPr="00AC1CBB" w:rsidRDefault="00FB2534" w:rsidP="00F30B06">
      <w:pPr>
        <w:pStyle w:val="Caption"/>
        <w:jc w:val="both"/>
        <w:rPr>
          <w:rFonts w:ascii="Calibri" w:hAnsi="Calibri"/>
          <w:sz w:val="18"/>
          <w:highlight w:val="green"/>
          <w:lang w:eastAsia="ar-SA"/>
        </w:rPr>
      </w:pPr>
      <w:bookmarkStart w:id="200" w:name="_Toc421268945"/>
      <w:bookmarkStart w:id="201" w:name="_Toc422133292"/>
      <w:r w:rsidRPr="00AC1CBB">
        <w:rPr>
          <w:rFonts w:ascii="Calibri" w:hAnsi="Calibri"/>
          <w:sz w:val="18"/>
        </w:rPr>
        <w:t xml:space="preserve">Rysunek </w:t>
      </w:r>
      <w:r w:rsidRPr="00AC1CBB">
        <w:rPr>
          <w:rFonts w:ascii="Calibri" w:hAnsi="Calibri"/>
          <w:sz w:val="18"/>
        </w:rPr>
        <w:fldChar w:fldCharType="begin"/>
      </w:r>
      <w:r w:rsidRPr="00AC1CBB">
        <w:rPr>
          <w:rFonts w:ascii="Calibri" w:hAnsi="Calibri"/>
          <w:sz w:val="18"/>
        </w:rPr>
        <w:instrText xml:space="preserve"> SEQ Rysunek \* ARABIC </w:instrText>
      </w:r>
      <w:r w:rsidRPr="00AC1CBB">
        <w:rPr>
          <w:rFonts w:ascii="Calibri" w:hAnsi="Calibri"/>
          <w:sz w:val="18"/>
        </w:rPr>
        <w:fldChar w:fldCharType="separate"/>
      </w:r>
      <w:r>
        <w:rPr>
          <w:rFonts w:ascii="Calibri" w:hAnsi="Calibri"/>
          <w:noProof/>
          <w:sz w:val="18"/>
        </w:rPr>
        <w:t>19</w:t>
      </w:r>
      <w:r w:rsidRPr="00AC1CBB">
        <w:rPr>
          <w:rFonts w:ascii="Calibri" w:hAnsi="Calibri"/>
          <w:sz w:val="18"/>
        </w:rPr>
        <w:fldChar w:fldCharType="end"/>
      </w:r>
      <w:r w:rsidRPr="00AC1CBB">
        <w:rPr>
          <w:rFonts w:ascii="Calibri" w:hAnsi="Calibri"/>
          <w:sz w:val="18"/>
        </w:rPr>
        <w:t>. Emisja zanieczyszczeń powietrza z poszczególnych sektorów w Gminie Wiejskiej Malbork</w:t>
      </w:r>
      <w:bookmarkEnd w:id="200"/>
      <w:bookmarkEnd w:id="201"/>
    </w:p>
    <w:p w:rsidR="00FB2534" w:rsidRDefault="00FB2534" w:rsidP="00A51C15">
      <w:pPr>
        <w:pStyle w:val="GOMnagl1"/>
        <w:spacing w:before="240"/>
        <w:ind w:left="357" w:hanging="357"/>
      </w:pPr>
      <w:bookmarkStart w:id="202" w:name="_Toc412201398"/>
      <w:bookmarkStart w:id="203" w:name="_Toc422133345"/>
      <w:r>
        <w:t>Działania zaplanowane na okres objęty Planem do roku 2020 z perspektywą do roku 2030</w:t>
      </w:r>
      <w:bookmarkEnd w:id="202"/>
      <w:bookmarkEnd w:id="203"/>
    </w:p>
    <w:p w:rsidR="00FB2534" w:rsidRDefault="00FB2534" w:rsidP="00EE1860">
      <w:pPr>
        <w:pStyle w:val="GOMnagl2"/>
        <w:ind w:left="720"/>
      </w:pPr>
      <w:bookmarkStart w:id="204" w:name="_Toc422133346"/>
      <w:r>
        <w:t>Długoterminowa strategia, cele i zobowiązania</w:t>
      </w:r>
      <w:bookmarkEnd w:id="195"/>
      <w:bookmarkEnd w:id="196"/>
      <w:bookmarkEnd w:id="204"/>
    </w:p>
    <w:p w:rsidR="00FB2534" w:rsidRDefault="00FB2534" w:rsidP="00EE1860">
      <w:pPr>
        <w:pStyle w:val="GOMnormal"/>
      </w:pPr>
      <w:r>
        <w:rPr>
          <w:lang w:eastAsia="ar-SA"/>
        </w:rPr>
        <w:t>Opis ogólny rodzajów działań</w:t>
      </w:r>
      <w:r w:rsidRPr="00E929C1">
        <w:rPr>
          <w:lang w:eastAsia="ar-SA"/>
        </w:rPr>
        <w:t xml:space="preserve"> </w:t>
      </w:r>
      <w:r>
        <w:rPr>
          <w:lang w:eastAsia="ar-SA"/>
        </w:rPr>
        <w:t>długoterminowych przewidzianych do realizacji w ramach PGN</w:t>
      </w:r>
      <w:r w:rsidRPr="00E929C1">
        <w:rPr>
          <w:lang w:eastAsia="ar-SA"/>
        </w:rPr>
        <w:t xml:space="preserve"> </w:t>
      </w:r>
      <w:r>
        <w:rPr>
          <w:lang w:eastAsia="ar-SA"/>
        </w:rPr>
        <w:t>znajduje się w rozdziale 9.1 „Planu gospodarki niskoemisyjnej dla Gdańskiego Obszaru Metropolitalnego”.</w:t>
      </w:r>
    </w:p>
    <w:p w:rsidR="00FB2534" w:rsidRDefault="00FB2534" w:rsidP="00EE1860">
      <w:pPr>
        <w:pStyle w:val="GOMnagl2"/>
        <w:ind w:left="720"/>
      </w:pPr>
      <w:bookmarkStart w:id="205" w:name="_Toc416348891"/>
      <w:bookmarkStart w:id="206" w:name="_Toc422133347"/>
      <w:r>
        <w:t>Zadania krótkoterminowe i średnioterminowe</w:t>
      </w:r>
      <w:bookmarkEnd w:id="197"/>
      <w:bookmarkEnd w:id="205"/>
      <w:bookmarkEnd w:id="206"/>
    </w:p>
    <w:p w:rsidR="00FB2534" w:rsidRDefault="00FB2534" w:rsidP="00EE1860">
      <w:pPr>
        <w:pStyle w:val="GOMnormal"/>
        <w:rPr>
          <w:lang w:eastAsia="ar-SA"/>
        </w:rPr>
      </w:pPr>
      <w:r>
        <w:rPr>
          <w:lang w:eastAsia="ar-SA"/>
        </w:rPr>
        <w:t xml:space="preserve">Krótkoterminowe i średnioterminowe zadania zostały przedstawione w rozdziale 9.4 w postaci harmonogramu </w:t>
      </w:r>
      <w:r w:rsidRPr="00C555C6">
        <w:rPr>
          <w:lang w:eastAsia="ar-SA"/>
        </w:rPr>
        <w:t>rzeczowo-finansowego zawierającego:</w:t>
      </w:r>
    </w:p>
    <w:p w:rsidR="00FB2534" w:rsidRPr="008E04C6" w:rsidRDefault="00FB2534" w:rsidP="00407562">
      <w:pPr>
        <w:pStyle w:val="GOMwypkt"/>
        <w:numPr>
          <w:ilvl w:val="0"/>
          <w:numId w:val="21"/>
        </w:numPr>
        <w:ind w:left="568" w:hanging="284"/>
      </w:pPr>
      <w:r>
        <w:rPr>
          <w:lang w:eastAsia="ar-SA"/>
        </w:rPr>
        <w:t xml:space="preserve">nazwę </w:t>
      </w:r>
      <w:r w:rsidRPr="008E04C6">
        <w:rPr>
          <w:lang w:eastAsia="ar-SA"/>
        </w:rPr>
        <w:t>zadania,</w:t>
      </w:r>
    </w:p>
    <w:p w:rsidR="00FB2534" w:rsidRDefault="00FB2534" w:rsidP="00407562">
      <w:pPr>
        <w:pStyle w:val="GOMwypkt"/>
        <w:numPr>
          <w:ilvl w:val="0"/>
          <w:numId w:val="21"/>
        </w:numPr>
        <w:ind w:left="568" w:hanging="284"/>
      </w:pPr>
      <w:r>
        <w:t xml:space="preserve">rodzaj zadania (w podziale na: koordynowane i własne), </w:t>
      </w:r>
    </w:p>
    <w:p w:rsidR="00FB2534" w:rsidRDefault="00FB2534" w:rsidP="00407562">
      <w:pPr>
        <w:pStyle w:val="GOMwypkt"/>
        <w:numPr>
          <w:ilvl w:val="0"/>
          <w:numId w:val="21"/>
        </w:numPr>
        <w:ind w:left="568" w:hanging="284"/>
      </w:pPr>
      <w:r>
        <w:t xml:space="preserve">jednostkę odpowiedzialną za realizację, </w:t>
      </w:r>
    </w:p>
    <w:p w:rsidR="00FB2534" w:rsidRDefault="00FB2534" w:rsidP="00407562">
      <w:pPr>
        <w:pStyle w:val="GOMwypkt"/>
        <w:numPr>
          <w:ilvl w:val="0"/>
          <w:numId w:val="21"/>
        </w:numPr>
        <w:ind w:left="568" w:hanging="284"/>
      </w:pPr>
      <w:r>
        <w:t xml:space="preserve">termin realizacji, </w:t>
      </w:r>
    </w:p>
    <w:p w:rsidR="00FB2534" w:rsidRDefault="00FB2534" w:rsidP="00407562">
      <w:pPr>
        <w:pStyle w:val="GOMwypkt"/>
        <w:numPr>
          <w:ilvl w:val="0"/>
          <w:numId w:val="21"/>
        </w:numPr>
        <w:ind w:left="568" w:hanging="284"/>
      </w:pPr>
      <w:r>
        <w:t xml:space="preserve">skalę czasową działania (krótkookresowe: do realizacji w latach 2015-2017, średniookresowe: 2018-2020 i długoterminowe: po roku 2020), </w:t>
      </w:r>
    </w:p>
    <w:p w:rsidR="00FB2534" w:rsidRDefault="00FB2534" w:rsidP="00407562">
      <w:pPr>
        <w:pStyle w:val="GOMwypkt"/>
        <w:numPr>
          <w:ilvl w:val="0"/>
          <w:numId w:val="21"/>
        </w:numPr>
        <w:ind w:left="568" w:hanging="284"/>
      </w:pPr>
      <w:r>
        <w:t xml:space="preserve">szacunkowe nakłady finansowe, </w:t>
      </w:r>
    </w:p>
    <w:p w:rsidR="00FB2534" w:rsidRDefault="00FB2534" w:rsidP="00407562">
      <w:pPr>
        <w:pStyle w:val="GOMwypkt"/>
        <w:numPr>
          <w:ilvl w:val="0"/>
          <w:numId w:val="21"/>
        </w:numPr>
        <w:ind w:left="568" w:hanging="284"/>
      </w:pPr>
      <w:r>
        <w:t xml:space="preserve">przewidywany efekt obniżenia zużycia energii [MWh/rok], </w:t>
      </w:r>
    </w:p>
    <w:p w:rsidR="00FB2534" w:rsidRDefault="00FB2534" w:rsidP="00407562">
      <w:pPr>
        <w:pStyle w:val="GOMwypkt"/>
        <w:numPr>
          <w:ilvl w:val="0"/>
          <w:numId w:val="21"/>
        </w:numPr>
        <w:ind w:left="568" w:hanging="284"/>
      </w:pPr>
      <w:r>
        <w:t>przewidywany efekt redukcji emisji CO</w:t>
      </w:r>
      <w:r w:rsidRPr="00110B24">
        <w:rPr>
          <w:vertAlign w:val="subscript"/>
        </w:rPr>
        <w:t>2</w:t>
      </w:r>
      <w:r>
        <w:t xml:space="preserve"> [Mg/rok], </w:t>
      </w:r>
    </w:p>
    <w:p w:rsidR="00FB2534" w:rsidRDefault="00FB2534" w:rsidP="00407562">
      <w:pPr>
        <w:pStyle w:val="GOMwypkt"/>
        <w:numPr>
          <w:ilvl w:val="0"/>
          <w:numId w:val="21"/>
        </w:numPr>
        <w:ind w:left="568" w:hanging="284"/>
      </w:pPr>
      <w:r>
        <w:t>możliwe źródła finansowania,</w:t>
      </w:r>
    </w:p>
    <w:p w:rsidR="00FB2534" w:rsidRDefault="00FB2534" w:rsidP="00407562">
      <w:pPr>
        <w:pStyle w:val="GOMwypkt"/>
        <w:numPr>
          <w:ilvl w:val="0"/>
          <w:numId w:val="21"/>
        </w:numPr>
        <w:ind w:left="568" w:hanging="284"/>
      </w:pPr>
      <w:r>
        <w:t>miernik monitorowania realizacji działania.</w:t>
      </w:r>
    </w:p>
    <w:p w:rsidR="00FB2534" w:rsidRDefault="00FB2534" w:rsidP="007F5D8E">
      <w:pPr>
        <w:pStyle w:val="GOMnagl2"/>
        <w:ind w:left="720"/>
      </w:pPr>
      <w:bookmarkStart w:id="207" w:name="_Toc422133348"/>
      <w:r>
        <w:t>Działania dla osiągnięcia założonych celów w Gminie Wiejskiej Malbork</w:t>
      </w:r>
      <w:bookmarkEnd w:id="207"/>
    </w:p>
    <w:p w:rsidR="00FB2534" w:rsidRPr="00CC1C14" w:rsidRDefault="00FB2534" w:rsidP="003D7FB8">
      <w:pPr>
        <w:pStyle w:val="GOMnormal"/>
        <w:rPr>
          <w:lang w:eastAsia="ar-SA"/>
        </w:rPr>
      </w:pPr>
      <w:r>
        <w:rPr>
          <w:lang w:eastAsia="ar-SA"/>
        </w:rPr>
        <w:t>W ogólnym ujęciu, przedstawione w Planie</w:t>
      </w:r>
      <w:r w:rsidRPr="00CC1C14">
        <w:rPr>
          <w:lang w:eastAsia="ar-SA"/>
        </w:rPr>
        <w:t xml:space="preserve"> działania/zadania dotyczą:</w:t>
      </w:r>
    </w:p>
    <w:p w:rsidR="00FB2534" w:rsidRPr="00CC1C14" w:rsidRDefault="00FB2534" w:rsidP="003D7FB8">
      <w:pPr>
        <w:pStyle w:val="GOMwypkt"/>
        <w:numPr>
          <w:ilvl w:val="0"/>
          <w:numId w:val="21"/>
        </w:numPr>
        <w:rPr>
          <w:lang w:eastAsia="ar-SA"/>
        </w:rPr>
      </w:pPr>
      <w:r w:rsidRPr="00CC1C14">
        <w:rPr>
          <w:lang w:eastAsia="ar-SA"/>
        </w:rPr>
        <w:t>działań niskoemisyjnych,</w:t>
      </w:r>
    </w:p>
    <w:p w:rsidR="00FB2534" w:rsidRPr="00CC1C14" w:rsidRDefault="00FB2534" w:rsidP="003D7FB8">
      <w:pPr>
        <w:pStyle w:val="GOMwypkt"/>
        <w:numPr>
          <w:ilvl w:val="0"/>
          <w:numId w:val="21"/>
        </w:numPr>
        <w:rPr>
          <w:lang w:eastAsia="ar-SA"/>
        </w:rPr>
      </w:pPr>
      <w:r w:rsidRPr="00CC1C14">
        <w:rPr>
          <w:lang w:eastAsia="ar-SA"/>
        </w:rPr>
        <w:t>efektywnego wykorzystania zasobów,</w:t>
      </w:r>
    </w:p>
    <w:p w:rsidR="00FB2534" w:rsidRPr="00CC1C14" w:rsidRDefault="00FB2534" w:rsidP="003D7FB8">
      <w:pPr>
        <w:pStyle w:val="GOMwypkt"/>
        <w:numPr>
          <w:ilvl w:val="0"/>
          <w:numId w:val="21"/>
        </w:numPr>
        <w:rPr>
          <w:lang w:eastAsia="ar-SA"/>
        </w:rPr>
      </w:pPr>
      <w:r w:rsidRPr="00CC1C14">
        <w:rPr>
          <w:lang w:eastAsia="ar-SA"/>
        </w:rPr>
        <w:t>poprawy efektywności energetycznej,</w:t>
      </w:r>
    </w:p>
    <w:p w:rsidR="00FB2534" w:rsidRPr="00CC1C14" w:rsidRDefault="00FB2534" w:rsidP="003D7FB8">
      <w:pPr>
        <w:pStyle w:val="GOMwypkt"/>
        <w:numPr>
          <w:ilvl w:val="0"/>
          <w:numId w:val="21"/>
        </w:numPr>
        <w:rPr>
          <w:lang w:eastAsia="ar-SA"/>
        </w:rPr>
      </w:pPr>
      <w:r w:rsidRPr="00CC1C14">
        <w:rPr>
          <w:lang w:eastAsia="ar-SA"/>
        </w:rPr>
        <w:t>wykorzystania OZE,</w:t>
      </w:r>
    </w:p>
    <w:p w:rsidR="00FB2534" w:rsidRPr="00CC1C14" w:rsidRDefault="00FB2534" w:rsidP="003D7FB8">
      <w:pPr>
        <w:pStyle w:val="GOMwypkt"/>
        <w:numPr>
          <w:ilvl w:val="0"/>
          <w:numId w:val="21"/>
        </w:numPr>
        <w:rPr>
          <w:lang w:eastAsia="ar-SA"/>
        </w:rPr>
      </w:pPr>
      <w:r w:rsidRPr="00CC1C14">
        <w:rPr>
          <w:lang w:eastAsia="ar-SA"/>
        </w:rPr>
        <w:t>działań wpływających na zmiany postaw konsumpcyjnych użytkowników energii,</w:t>
      </w:r>
    </w:p>
    <w:p w:rsidR="00FB2534" w:rsidRDefault="00FB2534" w:rsidP="003D7FB8">
      <w:pPr>
        <w:pStyle w:val="GOMwypkt"/>
        <w:numPr>
          <w:ilvl w:val="0"/>
          <w:numId w:val="21"/>
        </w:numPr>
        <w:rPr>
          <w:lang w:eastAsia="ar-SA"/>
        </w:rPr>
      </w:pPr>
      <w:r w:rsidRPr="00CC1C14">
        <w:rPr>
          <w:lang w:eastAsia="ar-SA"/>
        </w:rPr>
        <w:t>działań nie</w:t>
      </w:r>
      <w:r>
        <w:rPr>
          <w:lang w:eastAsia="ar-SA"/>
        </w:rPr>
        <w:t xml:space="preserve"> </w:t>
      </w:r>
      <w:r w:rsidRPr="00CC1C14">
        <w:rPr>
          <w:lang w:eastAsia="ar-SA"/>
        </w:rPr>
        <w:t>inwestycyjnych</w:t>
      </w:r>
      <w:r>
        <w:rPr>
          <w:lang w:eastAsia="ar-SA"/>
        </w:rPr>
        <w:t>, w tym działań systemowych i organizacyjnych wspierających realizację innych zadań</w:t>
      </w:r>
      <w:r w:rsidRPr="00CC1C14">
        <w:rPr>
          <w:lang w:eastAsia="ar-SA"/>
        </w:rPr>
        <w:t>.</w:t>
      </w:r>
    </w:p>
    <w:p w:rsidR="00FB2534" w:rsidRDefault="00FB2534" w:rsidP="003D7FB8">
      <w:pPr>
        <w:pStyle w:val="GOMnormal"/>
        <w:rPr>
          <w:highlight w:val="yellow"/>
          <w:lang w:eastAsia="ar-SA"/>
        </w:rPr>
      </w:pPr>
      <w:r>
        <w:t xml:space="preserve">Jako najważniejsze działania dla osiągnięcia założonych celów strategicznych i szczegółowych w mieście wskazuje się: </w:t>
      </w:r>
    </w:p>
    <w:p w:rsidR="00FB2534" w:rsidRPr="00E2442C" w:rsidRDefault="00FB2534" w:rsidP="003D7FB8">
      <w:pPr>
        <w:pStyle w:val="GOMwypkt"/>
        <w:numPr>
          <w:ilvl w:val="0"/>
          <w:numId w:val="21"/>
        </w:numPr>
        <w:rPr>
          <w:lang w:eastAsia="ar-SA"/>
        </w:rPr>
      </w:pPr>
      <w:r w:rsidRPr="00E2442C">
        <w:rPr>
          <w:lang w:eastAsia="ar-SA"/>
        </w:rPr>
        <w:t>ograniczenie emisji z indywidualnych systemów grzewczych, w tym likwidację lub modernizację lokalnych kotłowni opalanych paliwem stałym, likwidację/modernizację wysokoemisyjnych kotłów i pieców na paliwo stałe - wymianę na urządzenia o wyższej sprawności;</w:t>
      </w:r>
    </w:p>
    <w:p w:rsidR="00FB2534" w:rsidRDefault="00FB2534" w:rsidP="003D7FB8">
      <w:pPr>
        <w:pStyle w:val="GOMwypkt"/>
        <w:numPr>
          <w:ilvl w:val="0"/>
          <w:numId w:val="21"/>
        </w:numPr>
        <w:rPr>
          <w:lang w:eastAsia="ar-SA"/>
        </w:rPr>
      </w:pPr>
      <w:r w:rsidRPr="00E2442C">
        <w:rPr>
          <w:lang w:eastAsia="ar-SA"/>
        </w:rPr>
        <w:t xml:space="preserve">termomodernizację </w:t>
      </w:r>
      <w:r>
        <w:rPr>
          <w:lang w:eastAsia="ar-SA"/>
        </w:rPr>
        <w:t xml:space="preserve">budynków </w:t>
      </w:r>
      <w:r w:rsidRPr="00E2442C">
        <w:rPr>
          <w:lang w:eastAsia="ar-SA"/>
        </w:rPr>
        <w:t>w celu ograniczenia zapotrzebowania na energi</w:t>
      </w:r>
      <w:r>
        <w:rPr>
          <w:lang w:eastAsia="ar-SA"/>
        </w:rPr>
        <w:t>ę cieplną;</w:t>
      </w:r>
    </w:p>
    <w:p w:rsidR="00FB2534" w:rsidRPr="007D0B0A" w:rsidRDefault="00FB2534" w:rsidP="003D7FB8">
      <w:pPr>
        <w:pStyle w:val="GOMwypkt"/>
        <w:numPr>
          <w:ilvl w:val="0"/>
          <w:numId w:val="21"/>
        </w:numPr>
        <w:rPr>
          <w:lang w:eastAsia="ar-SA"/>
        </w:rPr>
      </w:pPr>
      <w:r w:rsidRPr="007D0B0A">
        <w:rPr>
          <w:lang w:eastAsia="ar-SA"/>
        </w:rPr>
        <w:t>ograniczenie emisji pochodzącej z transportu samochodowego, w tym planowanie systemu transportu,  wspieranie komunikacji publicznej, podwyższanie standardów technicznych infrastruktury drogowej;</w:t>
      </w:r>
    </w:p>
    <w:p w:rsidR="00FB2534" w:rsidRPr="003D7FB8" w:rsidRDefault="00FB2534" w:rsidP="003D7FB8">
      <w:pPr>
        <w:pStyle w:val="GOMwypkt"/>
        <w:numPr>
          <w:ilvl w:val="0"/>
          <w:numId w:val="21"/>
        </w:numPr>
        <w:rPr>
          <w:lang w:eastAsia="ar-SA"/>
        </w:rPr>
      </w:pPr>
      <w:r w:rsidRPr="007D0B0A">
        <w:rPr>
          <w:lang w:eastAsia="ar-SA"/>
        </w:rPr>
        <w:t>zwiększenie udziału OZE w pokrywaniu zapotrzebowania na ciepło oraz re</w:t>
      </w:r>
      <w:r>
        <w:rPr>
          <w:lang w:eastAsia="ar-SA"/>
        </w:rPr>
        <w:t>alizacji potrzeb energetycznych.</w:t>
      </w:r>
    </w:p>
    <w:p w:rsidR="00FB2534" w:rsidRPr="00A73046" w:rsidRDefault="00FB2534" w:rsidP="00EE1860">
      <w:pPr>
        <w:pStyle w:val="GOMnagl2"/>
        <w:ind w:left="720"/>
      </w:pPr>
      <w:bookmarkStart w:id="208" w:name="_Toc422133349"/>
      <w:r w:rsidRPr="00A73046">
        <w:t>Harmonogram rzeczowo-finansowy realizacji działań</w:t>
      </w:r>
      <w:r>
        <w:t xml:space="preserve"> w Gminie Wiejskiej Malbork</w:t>
      </w:r>
      <w:bookmarkEnd w:id="208"/>
    </w:p>
    <w:p w:rsidR="00FB2534" w:rsidRPr="009270CE" w:rsidRDefault="00FB2534" w:rsidP="00134FC6">
      <w:pPr>
        <w:pStyle w:val="GOMnormal"/>
      </w:pPr>
      <w:r w:rsidRPr="009270CE">
        <w:t xml:space="preserve">W harmonogramie zostały ujęte zadania mające służyć realizacji przyjętych w Planie celów strategicznych oraz celów szczegółowych do roku 2020 </w:t>
      </w:r>
      <w:r>
        <w:t xml:space="preserve">(rok prognozy) </w:t>
      </w:r>
      <w:r w:rsidRPr="009270CE">
        <w:t>w zakresie:</w:t>
      </w:r>
    </w:p>
    <w:p w:rsidR="00FB2534" w:rsidRPr="009270CE" w:rsidRDefault="00FB2534" w:rsidP="00134FC6">
      <w:pPr>
        <w:pStyle w:val="ListParagraph"/>
        <w:numPr>
          <w:ilvl w:val="0"/>
          <w:numId w:val="32"/>
        </w:numPr>
        <w:rPr>
          <w:sz w:val="20"/>
          <w:szCs w:val="20"/>
        </w:rPr>
      </w:pPr>
      <w:r w:rsidRPr="009270CE">
        <w:rPr>
          <w:sz w:val="20"/>
          <w:szCs w:val="20"/>
        </w:rPr>
        <w:t>redukcji emisji gazów cieplarnianych,</w:t>
      </w:r>
    </w:p>
    <w:p w:rsidR="00FB2534" w:rsidRPr="009270CE" w:rsidRDefault="00FB2534" w:rsidP="00134FC6">
      <w:pPr>
        <w:pStyle w:val="ListParagraph"/>
        <w:numPr>
          <w:ilvl w:val="0"/>
          <w:numId w:val="32"/>
        </w:numPr>
        <w:rPr>
          <w:sz w:val="20"/>
          <w:szCs w:val="20"/>
        </w:rPr>
      </w:pPr>
      <w:r w:rsidRPr="009270CE">
        <w:rPr>
          <w:sz w:val="20"/>
          <w:szCs w:val="20"/>
        </w:rPr>
        <w:t>redukcji zużycia energii finalnej,</w:t>
      </w:r>
    </w:p>
    <w:p w:rsidR="00FB2534" w:rsidRPr="009270CE" w:rsidRDefault="00FB2534" w:rsidP="00407562">
      <w:pPr>
        <w:pStyle w:val="ListParagraph"/>
        <w:numPr>
          <w:ilvl w:val="0"/>
          <w:numId w:val="32"/>
        </w:numPr>
        <w:spacing w:after="120"/>
        <w:ind w:left="714" w:hanging="357"/>
        <w:rPr>
          <w:sz w:val="20"/>
          <w:szCs w:val="20"/>
        </w:rPr>
      </w:pPr>
      <w:r w:rsidRPr="009270CE">
        <w:rPr>
          <w:sz w:val="20"/>
          <w:szCs w:val="20"/>
        </w:rPr>
        <w:t>zwiększenia udziału energii pochodzącej ze źródeł odnawialnych.</w:t>
      </w:r>
    </w:p>
    <w:p w:rsidR="00FB2534" w:rsidRDefault="00FB2534" w:rsidP="00134FC6">
      <w:pPr>
        <w:rPr>
          <w:rFonts w:ascii="Calibri" w:hAnsi="Calibri"/>
          <w:sz w:val="20"/>
          <w:szCs w:val="20"/>
        </w:rPr>
      </w:pPr>
      <w:r w:rsidRPr="009270CE">
        <w:rPr>
          <w:rFonts w:ascii="Calibri" w:hAnsi="Calibri"/>
          <w:sz w:val="20"/>
          <w:szCs w:val="20"/>
        </w:rPr>
        <w:t xml:space="preserve">Ich wymiernym rezultatem będzie osiągnięcie wskazanych w harmonogramie efektów. </w:t>
      </w:r>
      <w:r>
        <w:rPr>
          <w:rFonts w:ascii="Calibri" w:hAnsi="Calibri"/>
          <w:sz w:val="20"/>
          <w:szCs w:val="20"/>
        </w:rPr>
        <w:t xml:space="preserve"> </w:t>
      </w:r>
      <w:r w:rsidRPr="006B509D">
        <w:rPr>
          <w:rFonts w:ascii="Calibri" w:hAnsi="Calibri"/>
          <w:sz w:val="20"/>
          <w:szCs w:val="20"/>
        </w:rPr>
        <w:t>Dla każdego zadania zostały podane wskaźniki rezultatu tj. redukcji emisji CO2 oraz redukcji zużycia energii finalnej.</w:t>
      </w:r>
    </w:p>
    <w:p w:rsidR="00FB2534" w:rsidRPr="009270CE" w:rsidRDefault="00FB2534" w:rsidP="00134FC6">
      <w:pPr>
        <w:pStyle w:val="GOMnormal"/>
      </w:pPr>
      <w:r w:rsidRPr="0006553C">
        <w:t>Należy podkreślić, że poza wymienionymi efektami, realizacja wybranych działań PGN przyczyni się również do redukcji emisji zanieczyszczeń powietrza (pył PM10, PM2,5, B(a)P, SO</w:t>
      </w:r>
      <w:r w:rsidRPr="0006553C">
        <w:rPr>
          <w:vertAlign w:val="subscript"/>
        </w:rPr>
        <w:t>2</w:t>
      </w:r>
      <w:r w:rsidRPr="0006553C">
        <w:t>, NO</w:t>
      </w:r>
      <w:r w:rsidRPr="0006553C">
        <w:rPr>
          <w:vertAlign w:val="subscript"/>
        </w:rPr>
        <w:t>2</w:t>
      </w:r>
      <w:r w:rsidRPr="0006553C">
        <w:t>).</w:t>
      </w:r>
    </w:p>
    <w:p w:rsidR="00FB2534" w:rsidRDefault="00FB2534" w:rsidP="0074203D">
      <w:pPr>
        <w:pStyle w:val="GOMnormal"/>
      </w:pPr>
      <w:r>
        <w:t>Zadania harmonogramu przedstawiono w odniesieniu do poszczególnych, wybranych sektorów. Przy opracowaniu harmonogramu wykorzystano m.in. dane pochodzące z tz</w:t>
      </w:r>
      <w:r w:rsidRPr="00CB366E">
        <w:t>w. Fiszek projektó</w:t>
      </w:r>
      <w:r>
        <w:t>w ZIT i POIiŚ na lata 2014-</w:t>
      </w:r>
      <w:r w:rsidRPr="00CB366E">
        <w:t>2020, programu ochrony środowiska oraz strategii rozwoju  gminy, projektu planu zaopatrzenia w ciepło, energię elektryczną i paliwa gazowe, Wieloletniej Prognozy Finansowej, a także dane uzyskane od poszczególnych jednostek biorących udział w realizacji Planu. Przedstawione środki finansowe po roku 2015 mają charakter szacunkowy i wynikają z prognoz finansowych.</w:t>
      </w:r>
      <w:r>
        <w:t xml:space="preserve"> </w:t>
      </w:r>
    </w:p>
    <w:p w:rsidR="00FB2534" w:rsidRPr="006B509D" w:rsidRDefault="00FB2534" w:rsidP="0074203D">
      <w:pPr>
        <w:pStyle w:val="GOMnormal"/>
      </w:pPr>
      <w:r w:rsidRPr="006B509D">
        <w:t>W realizację poszczególnych zadań wskazanych w harmonogramie powinno być zaangażowane jak najszersze grono interesariuszy, a w szczególności:</w:t>
      </w:r>
    </w:p>
    <w:p w:rsidR="00FB2534" w:rsidRPr="006B509D" w:rsidRDefault="00FB2534" w:rsidP="0074203D">
      <w:pPr>
        <w:pStyle w:val="ListParagraph"/>
        <w:numPr>
          <w:ilvl w:val="0"/>
          <w:numId w:val="32"/>
        </w:numPr>
        <w:rPr>
          <w:sz w:val="20"/>
          <w:szCs w:val="20"/>
        </w:rPr>
      </w:pPr>
      <w:r w:rsidRPr="006B509D">
        <w:rPr>
          <w:sz w:val="20"/>
          <w:szCs w:val="20"/>
        </w:rPr>
        <w:t>podmioty będące producentami i/lub odbiorcami energii,</w:t>
      </w:r>
    </w:p>
    <w:p w:rsidR="00FB2534" w:rsidRPr="006B509D" w:rsidRDefault="00FB2534" w:rsidP="0074203D">
      <w:pPr>
        <w:pStyle w:val="ListParagraph"/>
        <w:numPr>
          <w:ilvl w:val="0"/>
          <w:numId w:val="32"/>
        </w:numPr>
        <w:rPr>
          <w:sz w:val="20"/>
          <w:szCs w:val="20"/>
        </w:rPr>
      </w:pPr>
      <w:r w:rsidRPr="006B509D">
        <w:rPr>
          <w:sz w:val="20"/>
          <w:szCs w:val="20"/>
        </w:rPr>
        <w:t>podmioty będące dostawcami paliw i mediów,</w:t>
      </w:r>
    </w:p>
    <w:p w:rsidR="00FB2534" w:rsidRPr="006B509D" w:rsidRDefault="00FB2534" w:rsidP="0074203D">
      <w:pPr>
        <w:pStyle w:val="ListParagraph"/>
        <w:numPr>
          <w:ilvl w:val="0"/>
          <w:numId w:val="32"/>
        </w:numPr>
        <w:rPr>
          <w:sz w:val="20"/>
          <w:szCs w:val="20"/>
        </w:rPr>
      </w:pPr>
      <w:r w:rsidRPr="006B509D">
        <w:rPr>
          <w:sz w:val="20"/>
          <w:szCs w:val="20"/>
        </w:rPr>
        <w:t>wspólnoty i spółdzielnie mieszkaniowe,</w:t>
      </w:r>
    </w:p>
    <w:p w:rsidR="00FB2534" w:rsidRPr="006B509D" w:rsidRDefault="00FB2534" w:rsidP="0074203D">
      <w:pPr>
        <w:pStyle w:val="ListParagraph"/>
        <w:numPr>
          <w:ilvl w:val="0"/>
          <w:numId w:val="32"/>
        </w:numPr>
        <w:rPr>
          <w:sz w:val="20"/>
          <w:szCs w:val="20"/>
        </w:rPr>
      </w:pPr>
      <w:r w:rsidRPr="006B509D">
        <w:rPr>
          <w:sz w:val="20"/>
          <w:szCs w:val="20"/>
        </w:rPr>
        <w:t>prywatni inwestorzy, przedsiębiorcy,</w:t>
      </w:r>
    </w:p>
    <w:p w:rsidR="00FB2534" w:rsidRPr="006B509D" w:rsidRDefault="00FB2534" w:rsidP="0074203D">
      <w:pPr>
        <w:pStyle w:val="ListParagraph"/>
        <w:numPr>
          <w:ilvl w:val="0"/>
          <w:numId w:val="32"/>
        </w:numPr>
        <w:rPr>
          <w:sz w:val="20"/>
          <w:szCs w:val="20"/>
        </w:rPr>
      </w:pPr>
      <w:r w:rsidRPr="006B509D">
        <w:rPr>
          <w:sz w:val="20"/>
          <w:szCs w:val="20"/>
        </w:rPr>
        <w:t>jednostki samorządowe.</w:t>
      </w:r>
    </w:p>
    <w:p w:rsidR="00FB2534" w:rsidRDefault="00FB2534" w:rsidP="0074203D">
      <w:pPr>
        <w:pStyle w:val="GOMwypkt"/>
        <w:numPr>
          <w:ilvl w:val="0"/>
          <w:numId w:val="0"/>
        </w:numPr>
        <w:rPr>
          <w:lang w:eastAsia="ar-SA"/>
        </w:rPr>
        <w:sectPr w:rsidR="00FB2534" w:rsidSect="00F87296">
          <w:headerReference w:type="even" r:id="rId41"/>
          <w:headerReference w:type="default" r:id="rId42"/>
          <w:footerReference w:type="even" r:id="rId43"/>
          <w:footerReference w:type="default" r:id="rId44"/>
          <w:pgSz w:w="11906" w:h="16838" w:code="9"/>
          <w:pgMar w:top="1440" w:right="1440" w:bottom="1440" w:left="1797" w:header="709" w:footer="709" w:gutter="0"/>
          <w:cols w:space="708"/>
          <w:docGrid w:linePitch="360"/>
        </w:sectPr>
      </w:pPr>
      <w:r w:rsidRPr="006B509D">
        <w:t xml:space="preserve">Wszyscy interesariusze Planu dla Gminy </w:t>
      </w:r>
      <w:r>
        <w:t>Malbork</w:t>
      </w:r>
      <w:r w:rsidRPr="006B509D">
        <w:t xml:space="preserve"> z</w:t>
      </w:r>
      <w:r>
        <w:t>ostali wskazani w harmonogramie.</w:t>
      </w:r>
    </w:p>
    <w:p w:rsidR="00FB2534" w:rsidRDefault="00FB2534" w:rsidP="00390985">
      <w:pPr>
        <w:pStyle w:val="GOMpodpistab"/>
      </w:pPr>
      <w:bookmarkStart w:id="209" w:name="_Toc422135112"/>
      <w:r>
        <w:t xml:space="preserve">Tabela </w:t>
      </w:r>
      <w:r>
        <w:fldChar w:fldCharType="begin"/>
      </w:r>
      <w:r>
        <w:instrText xml:space="preserve"> SEQ Tabela \* ARABIC </w:instrText>
      </w:r>
      <w:r>
        <w:fldChar w:fldCharType="separate"/>
      </w:r>
      <w:r>
        <w:rPr>
          <w:noProof/>
        </w:rPr>
        <w:t>19</w:t>
      </w:r>
      <w:r>
        <w:fldChar w:fldCharType="end"/>
      </w:r>
      <w:r>
        <w:t xml:space="preserve">. </w:t>
      </w:r>
      <w:r w:rsidRPr="00211846">
        <w:t>Harmonogram rzeczowo-</w:t>
      </w:r>
      <w:r>
        <w:t>finansowy działań PGN dla gminy</w:t>
      </w:r>
      <w:r w:rsidRPr="00211846">
        <w:t xml:space="preserve"> Malbork na lata 2015-2020 z perspektywą do roku 2030 (źródło: opracowanie własne)</w:t>
      </w:r>
      <w:bookmarkEnd w:id="209"/>
    </w:p>
    <w:tbl>
      <w:tblPr>
        <w:tblW w:w="14047" w:type="dxa"/>
        <w:tblInd w:w="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468"/>
        <w:gridCol w:w="2771"/>
        <w:gridCol w:w="914"/>
        <w:gridCol w:w="992"/>
        <w:gridCol w:w="851"/>
        <w:gridCol w:w="850"/>
        <w:gridCol w:w="1134"/>
        <w:gridCol w:w="1134"/>
        <w:gridCol w:w="851"/>
        <w:gridCol w:w="2387"/>
        <w:gridCol w:w="1695"/>
      </w:tblGrid>
      <w:tr w:rsidR="00FB2534" w:rsidRPr="004D614C" w:rsidTr="00AC1CBB">
        <w:trPr>
          <w:trHeight w:val="1122"/>
          <w:tblHeader/>
        </w:trPr>
        <w:tc>
          <w:tcPr>
            <w:tcW w:w="468"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Lp.</w:t>
            </w:r>
          </w:p>
        </w:tc>
        <w:tc>
          <w:tcPr>
            <w:tcW w:w="2771" w:type="dxa"/>
            <w:vMerge w:val="restart"/>
            <w:shd w:val="clear" w:color="auto" w:fill="BFBFBF"/>
            <w:vAlign w:val="center"/>
          </w:tcPr>
          <w:p w:rsidR="00FB2534" w:rsidRPr="00AC1CBB" w:rsidRDefault="00FB2534" w:rsidP="00E15022">
            <w:pPr>
              <w:rPr>
                <w:rFonts w:ascii="Calibri" w:hAnsi="Calibri"/>
                <w:b/>
                <w:bCs/>
                <w:color w:val="000000"/>
                <w:sz w:val="18"/>
                <w:szCs w:val="18"/>
              </w:rPr>
            </w:pPr>
            <w:r w:rsidRPr="00AC1CBB">
              <w:rPr>
                <w:rFonts w:ascii="Calibri" w:hAnsi="Calibri"/>
                <w:b/>
                <w:bCs/>
                <w:color w:val="000000"/>
                <w:sz w:val="18"/>
                <w:szCs w:val="18"/>
              </w:rPr>
              <w:t>Nazwa działania</w:t>
            </w:r>
          </w:p>
        </w:tc>
        <w:tc>
          <w:tcPr>
            <w:tcW w:w="914"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Rodzaj działania*</w:t>
            </w:r>
          </w:p>
        </w:tc>
        <w:tc>
          <w:tcPr>
            <w:tcW w:w="992"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Jednostka realizująca</w:t>
            </w:r>
          </w:p>
        </w:tc>
        <w:tc>
          <w:tcPr>
            <w:tcW w:w="851"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Termin realizacji</w:t>
            </w:r>
          </w:p>
        </w:tc>
        <w:tc>
          <w:tcPr>
            <w:tcW w:w="850"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Skala czasowa działania**</w:t>
            </w:r>
          </w:p>
        </w:tc>
        <w:tc>
          <w:tcPr>
            <w:tcW w:w="1134"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Szacunkowe nakłady finansowe</w:t>
            </w:r>
          </w:p>
        </w:tc>
        <w:tc>
          <w:tcPr>
            <w:tcW w:w="1134"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Efekt obniżenia zużycia energii</w:t>
            </w:r>
          </w:p>
        </w:tc>
        <w:tc>
          <w:tcPr>
            <w:tcW w:w="851"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Efekt redukcji emisji CO</w:t>
            </w:r>
            <w:r w:rsidRPr="00AC1CBB">
              <w:rPr>
                <w:rFonts w:ascii="Calibri" w:hAnsi="Calibri"/>
                <w:b/>
                <w:bCs/>
                <w:color w:val="000000"/>
                <w:sz w:val="18"/>
                <w:szCs w:val="18"/>
                <w:vertAlign w:val="subscript"/>
              </w:rPr>
              <w:t>2</w:t>
            </w:r>
          </w:p>
        </w:tc>
        <w:tc>
          <w:tcPr>
            <w:tcW w:w="2387" w:type="dxa"/>
            <w:vMerge w:val="restart"/>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Przewidywane i możliwe źródło finansowania</w:t>
            </w:r>
          </w:p>
        </w:tc>
        <w:tc>
          <w:tcPr>
            <w:tcW w:w="1695" w:type="dxa"/>
            <w:vMerge w:val="restart"/>
            <w:shd w:val="clear" w:color="auto" w:fill="BFBFBF"/>
            <w:vAlign w:val="center"/>
          </w:tcPr>
          <w:p w:rsidR="00FB2534" w:rsidRPr="00AC1CBB" w:rsidRDefault="00FB2534" w:rsidP="0074203D">
            <w:pPr>
              <w:jc w:val="center"/>
              <w:rPr>
                <w:rFonts w:ascii="Calibri" w:hAnsi="Calibri"/>
                <w:b/>
                <w:bCs/>
                <w:color w:val="000000"/>
                <w:sz w:val="18"/>
                <w:szCs w:val="18"/>
              </w:rPr>
            </w:pPr>
            <w:r w:rsidRPr="00AC1CBB">
              <w:rPr>
                <w:rFonts w:ascii="Calibri" w:hAnsi="Calibri"/>
                <w:b/>
                <w:bCs/>
                <w:color w:val="000000"/>
                <w:sz w:val="18"/>
                <w:szCs w:val="18"/>
              </w:rPr>
              <w:t>Miernik monitorowania realizacji działania</w:t>
            </w:r>
          </w:p>
        </w:tc>
      </w:tr>
      <w:tr w:rsidR="00FB2534" w:rsidRPr="004D614C" w:rsidTr="00AC1CBB">
        <w:trPr>
          <w:trHeight w:val="285"/>
          <w:tblHeader/>
        </w:trPr>
        <w:tc>
          <w:tcPr>
            <w:tcW w:w="468"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2771" w:type="dxa"/>
            <w:vMerge/>
            <w:shd w:val="clear" w:color="auto" w:fill="BFBFBF"/>
            <w:vAlign w:val="center"/>
          </w:tcPr>
          <w:p w:rsidR="00FB2534" w:rsidRPr="00AC1CBB" w:rsidRDefault="00FB2534" w:rsidP="00E15022">
            <w:pPr>
              <w:rPr>
                <w:rFonts w:ascii="Calibri" w:hAnsi="Calibri"/>
                <w:b/>
                <w:bCs/>
                <w:color w:val="000000"/>
                <w:sz w:val="18"/>
                <w:szCs w:val="18"/>
              </w:rPr>
            </w:pPr>
          </w:p>
        </w:tc>
        <w:tc>
          <w:tcPr>
            <w:tcW w:w="914"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992"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851"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850"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1134"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[tys. zł]</w:t>
            </w:r>
          </w:p>
        </w:tc>
        <w:tc>
          <w:tcPr>
            <w:tcW w:w="1134"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[MWh/rok]</w:t>
            </w:r>
          </w:p>
        </w:tc>
        <w:tc>
          <w:tcPr>
            <w:tcW w:w="851" w:type="dxa"/>
            <w:shd w:val="clear" w:color="auto" w:fill="BFBFBF"/>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[Mg/rok]</w:t>
            </w:r>
          </w:p>
        </w:tc>
        <w:tc>
          <w:tcPr>
            <w:tcW w:w="2387" w:type="dxa"/>
            <w:vMerge/>
            <w:shd w:val="clear" w:color="auto" w:fill="BFBFBF"/>
            <w:vAlign w:val="center"/>
          </w:tcPr>
          <w:p w:rsidR="00FB2534" w:rsidRPr="00AC1CBB" w:rsidRDefault="00FB2534" w:rsidP="00E15022">
            <w:pPr>
              <w:jc w:val="center"/>
              <w:rPr>
                <w:rFonts w:ascii="Calibri" w:hAnsi="Calibri"/>
                <w:b/>
                <w:bCs/>
                <w:color w:val="000000"/>
                <w:sz w:val="18"/>
                <w:szCs w:val="18"/>
              </w:rPr>
            </w:pPr>
          </w:p>
        </w:tc>
        <w:tc>
          <w:tcPr>
            <w:tcW w:w="1695" w:type="dxa"/>
            <w:vMerge/>
            <w:shd w:val="clear" w:color="auto" w:fill="BFBFBF"/>
          </w:tcPr>
          <w:p w:rsidR="00FB2534" w:rsidRPr="00AC1CBB" w:rsidRDefault="00FB2534" w:rsidP="00E15022">
            <w:pPr>
              <w:jc w:val="center"/>
              <w:rPr>
                <w:rFonts w:ascii="Calibri" w:hAnsi="Calibri"/>
                <w:b/>
                <w:bCs/>
                <w:color w:val="000000"/>
                <w:sz w:val="18"/>
                <w:szCs w:val="18"/>
              </w:rPr>
            </w:pPr>
          </w:p>
        </w:tc>
      </w:tr>
      <w:tr w:rsidR="00FB2534" w:rsidRPr="004D614C" w:rsidTr="00AC1CBB">
        <w:trPr>
          <w:trHeight w:val="285"/>
        </w:trPr>
        <w:tc>
          <w:tcPr>
            <w:tcW w:w="14047" w:type="dxa"/>
            <w:gridSpan w:val="11"/>
            <w:shd w:val="clear" w:color="auto" w:fill="BFBFBF"/>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Sektor energetyki (działania niezależne od JST)</w:t>
            </w:r>
          </w:p>
        </w:tc>
      </w:tr>
      <w:tr w:rsidR="00FB2534" w:rsidRPr="004D614C" w:rsidTr="009C2894">
        <w:trPr>
          <w:trHeight w:val="285"/>
        </w:trPr>
        <w:tc>
          <w:tcPr>
            <w:tcW w:w="468" w:type="dxa"/>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1</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Rozbudowa sieci gazowniczej</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KO</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PGNiG</w:t>
            </w:r>
          </w:p>
        </w:tc>
        <w:tc>
          <w:tcPr>
            <w:tcW w:w="851" w:type="dxa"/>
            <w:vAlign w:val="center"/>
          </w:tcPr>
          <w:p w:rsidR="00FB2534" w:rsidRPr="00AC1CBB" w:rsidRDefault="00FB2534" w:rsidP="00AF7468">
            <w:pPr>
              <w:jc w:val="center"/>
              <w:rPr>
                <w:rFonts w:ascii="Calibri" w:hAnsi="Calibri"/>
                <w:color w:val="000000"/>
                <w:sz w:val="18"/>
                <w:szCs w:val="18"/>
              </w:rPr>
            </w:pPr>
            <w:r w:rsidRPr="00AC1CBB">
              <w:rPr>
                <w:rFonts w:ascii="Calibri" w:hAnsi="Calibri"/>
                <w:color w:val="000000"/>
                <w:sz w:val="18"/>
                <w:szCs w:val="18"/>
              </w:rPr>
              <w:t>2017-2020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1350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90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180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Liczba km sieci</w:t>
            </w:r>
          </w:p>
        </w:tc>
      </w:tr>
      <w:tr w:rsidR="00FB2534" w:rsidRPr="004D614C" w:rsidTr="00AC1CBB">
        <w:trPr>
          <w:trHeight w:val="285"/>
        </w:trPr>
        <w:tc>
          <w:tcPr>
            <w:tcW w:w="14047" w:type="dxa"/>
            <w:gridSpan w:val="11"/>
            <w:shd w:val="clear" w:color="auto" w:fill="BFBFBF"/>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Sektor budownictwa (w tym gospodarstwa domowe, budynki administracji publicznej itp.)</w:t>
            </w:r>
          </w:p>
        </w:tc>
      </w:tr>
      <w:tr w:rsidR="00FB2534" w:rsidRPr="004D614C" w:rsidTr="009C2894">
        <w:trPr>
          <w:trHeight w:val="674"/>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2</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Termomodernizacja Budynków Oświatowych (Sala gimnastyczna w Nowej Wsi)</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80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65</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652B89">
              <w:rPr>
                <w:rFonts w:ascii="Calibri" w:hAnsi="Calibri"/>
                <w:sz w:val="18"/>
                <w:szCs w:val="18"/>
              </w:rPr>
              <w:t>Liczba budynków poddanych termomodernizacji, w tym liczba m2 p.u</w:t>
            </w:r>
          </w:p>
        </w:tc>
      </w:tr>
      <w:tr w:rsidR="00FB2534" w:rsidRPr="004D614C" w:rsidTr="009C2894">
        <w:trPr>
          <w:trHeight w:val="285"/>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3</w:t>
            </w:r>
          </w:p>
        </w:tc>
        <w:tc>
          <w:tcPr>
            <w:tcW w:w="2771" w:type="dxa"/>
            <w:vAlign w:val="center"/>
          </w:tcPr>
          <w:p w:rsidR="00FB2534" w:rsidRPr="00AC1CBB" w:rsidRDefault="00FB2534" w:rsidP="00182601">
            <w:pPr>
              <w:rPr>
                <w:rFonts w:ascii="Calibri" w:hAnsi="Calibri"/>
                <w:color w:val="000000"/>
                <w:sz w:val="18"/>
                <w:szCs w:val="18"/>
              </w:rPr>
            </w:pPr>
            <w:r w:rsidRPr="00AC1CBB">
              <w:rPr>
                <w:rFonts w:ascii="Calibri" w:hAnsi="Calibri"/>
                <w:color w:val="000000"/>
                <w:sz w:val="18"/>
                <w:szCs w:val="18"/>
              </w:rPr>
              <w:t xml:space="preserve">Termomodernizacja Budynku Urzędu Gminy) </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80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65</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 xml:space="preserve">m2 p.u. </w:t>
            </w:r>
          </w:p>
        </w:tc>
      </w:tr>
      <w:tr w:rsidR="00FB2534" w:rsidRPr="004D614C" w:rsidTr="009C2894">
        <w:trPr>
          <w:trHeight w:val="285"/>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4</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Termomodernizacja Budynków Służby Zdrowia</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80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65</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652B89">
              <w:rPr>
                <w:rFonts w:ascii="Calibri" w:hAnsi="Calibri"/>
                <w:sz w:val="18"/>
                <w:szCs w:val="18"/>
              </w:rPr>
              <w:t>Liczba budynków poddanych termomodernizacji, w tym liczba m2 p.u</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5</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Obniżenie emisji w obiektach użyteczności publicznej poprzez modernizację źródeł ciepła lub podpięcie do sieci Miasta Malbork</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zmodernizowanych źródeł ciepła</w:t>
            </w:r>
          </w:p>
        </w:tc>
      </w:tr>
      <w:tr w:rsidR="00FB2534" w:rsidRPr="004D614C" w:rsidTr="009C2894">
        <w:trPr>
          <w:trHeight w:val="83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6</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Modernizacja oświetlenia w budynkach zarządzanych przez Urząd Gminy ( w ramach naturalnej wymiany tradycyjnych źródeł oświetlenia na energooszczędne)</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realizacja ciągła</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1,6</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oszczędnych źródeł oświetlenia</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7</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Wymiana żarówek wewnątrz budynków użytku publicznego na energooszczędne świetlówki kompaktowe</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4D614C">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realizacja ciągła</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1,6</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energooszczędnych źródeł oświetlenia</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8</w:t>
            </w:r>
          </w:p>
        </w:tc>
        <w:tc>
          <w:tcPr>
            <w:tcW w:w="2771" w:type="dxa"/>
            <w:vAlign w:val="center"/>
          </w:tcPr>
          <w:p w:rsidR="00FB2534" w:rsidRPr="00AC1CBB" w:rsidRDefault="00FB2534" w:rsidP="00CD202B">
            <w:pPr>
              <w:rPr>
                <w:rFonts w:ascii="Calibri" w:hAnsi="Calibri"/>
                <w:color w:val="000000"/>
                <w:sz w:val="18"/>
                <w:szCs w:val="18"/>
              </w:rPr>
            </w:pPr>
            <w:r w:rsidRPr="00AC1CBB">
              <w:rPr>
                <w:rFonts w:ascii="Calibri" w:hAnsi="Calibri"/>
                <w:color w:val="000000"/>
                <w:sz w:val="18"/>
                <w:szCs w:val="18"/>
              </w:rPr>
              <w:t>Wprowadzenie do jak największej liczby budynków oświetlenia sterowanego czujnikami ruchu w częściach korytarzy</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0,2</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nowych źródeł oświetlenia</w:t>
            </w:r>
          </w:p>
        </w:tc>
      </w:tr>
      <w:tr w:rsidR="00FB2534" w:rsidRPr="004D614C" w:rsidTr="009C2894">
        <w:trPr>
          <w:trHeight w:val="92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9</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Wymiana starych kotłów węglowych na: gazowe, retortowe, na biomasę, olejowe i ogrzewanie elektryczne akumulacyjne</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KO</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Właściciele domów</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bd</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zlikwidowanych kotłów węglowych</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10</w:t>
            </w:r>
          </w:p>
        </w:tc>
        <w:tc>
          <w:tcPr>
            <w:tcW w:w="2771" w:type="dxa"/>
            <w:vAlign w:val="center"/>
          </w:tcPr>
          <w:p w:rsidR="00FB2534" w:rsidRPr="00AC1CBB" w:rsidRDefault="00FB2534" w:rsidP="00C452A5">
            <w:pPr>
              <w:rPr>
                <w:rFonts w:ascii="Calibri" w:hAnsi="Calibri"/>
                <w:color w:val="000000"/>
                <w:sz w:val="18"/>
                <w:szCs w:val="18"/>
              </w:rPr>
            </w:pPr>
            <w:r w:rsidRPr="00AC1CBB">
              <w:rPr>
                <w:rFonts w:ascii="Calibri" w:hAnsi="Calibri"/>
                <w:color w:val="000000"/>
                <w:sz w:val="18"/>
                <w:szCs w:val="18"/>
              </w:rPr>
              <w:t>Wykorzystanie istniejących budynków jednostek podległych UG do zainstalowania na nich ogniw fotowoltaicznych</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w:t>
            </w:r>
            <w:r w:rsidRPr="00AC1CBB">
              <w:rPr>
                <w:rFonts w:ascii="Calibri" w:hAnsi="Calibri"/>
                <w:color w:val="000000"/>
                <w:sz w:val="18"/>
                <w:szCs w:val="18"/>
              </w:rPr>
              <w:t>-2020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162,4</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ogniw fotowoltaicznych, w tym liczba m2 p.cz.</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11</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Pozyskanie funduszy oraz prowadzenie systemu dopłat w zakresie ograniczenia niskiej emisji (działania organizacyjne).</w:t>
            </w:r>
          </w:p>
        </w:tc>
        <w:tc>
          <w:tcPr>
            <w:tcW w:w="914"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realizacja ciągła</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Pozyskanie funduszy oraz opracowanie systemu dopłat</w:t>
            </w:r>
          </w:p>
        </w:tc>
      </w:tr>
      <w:tr w:rsidR="00FB2534" w:rsidRPr="004D614C" w:rsidTr="00AC1CBB">
        <w:trPr>
          <w:trHeight w:val="285"/>
        </w:trPr>
        <w:tc>
          <w:tcPr>
            <w:tcW w:w="14047" w:type="dxa"/>
            <w:gridSpan w:val="11"/>
            <w:shd w:val="clear" w:color="auto" w:fill="BFBFBF"/>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Transport</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12</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Poprawa stanu technicznego dróg – utwardzenie dróg lub poboczy w celu redukcji wtórnego unosu pyłu, modernizacja dróg.</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70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RPO/POIiŚ/środki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km utwardzonych dróg</w:t>
            </w:r>
          </w:p>
        </w:tc>
      </w:tr>
      <w:tr w:rsidR="00FB2534" w:rsidRPr="004D614C" w:rsidTr="009C2894">
        <w:trPr>
          <w:trHeight w:val="71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13</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Rozbudowa drogi wojewódzkiej nr 515 - część przypadająca na gminę Malbork (w)</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KO</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Marszałkowski</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35</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województwa +RPO</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km drogi</w:t>
            </w:r>
          </w:p>
        </w:tc>
      </w:tr>
      <w:tr w:rsidR="00FB2534" w:rsidRPr="004D614C" w:rsidTr="009C2894">
        <w:trPr>
          <w:trHeight w:val="704"/>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14</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Projekt i rozbudowa oświetlenia ulicznego w sołectw</w:t>
            </w:r>
            <w:r>
              <w:rPr>
                <w:rFonts w:ascii="Calibri" w:hAnsi="Calibri"/>
                <w:color w:val="000000"/>
                <w:sz w:val="18"/>
                <w:szCs w:val="18"/>
              </w:rPr>
              <w:t xml:space="preserve">ach </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180</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48</w:t>
            </w:r>
          </w:p>
        </w:tc>
        <w:tc>
          <w:tcPr>
            <w:tcW w:w="851"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38</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 xml:space="preserve">Liczba sztuk nowych źródeł oświetlenia </w:t>
            </w:r>
          </w:p>
        </w:tc>
      </w:tr>
      <w:tr w:rsidR="00FB2534" w:rsidRPr="004D614C" w:rsidTr="009C2894">
        <w:trPr>
          <w:trHeight w:val="80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15</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Uzupełnienie oświ</w:t>
            </w:r>
            <w:r>
              <w:rPr>
                <w:rFonts w:ascii="Calibri" w:hAnsi="Calibri"/>
                <w:color w:val="000000"/>
                <w:sz w:val="18"/>
                <w:szCs w:val="18"/>
              </w:rPr>
              <w:t>etlenia ulicznego w sołectwach</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64</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19,2</w:t>
            </w:r>
          </w:p>
        </w:tc>
        <w:tc>
          <w:tcPr>
            <w:tcW w:w="851"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15,2</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nowych źródeł oświetlenia</w:t>
            </w:r>
          </w:p>
        </w:tc>
      </w:tr>
      <w:tr w:rsidR="00FB2534" w:rsidRPr="004D614C" w:rsidTr="009C2894">
        <w:trPr>
          <w:trHeight w:val="824"/>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16</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Modernizacja i wyposażenie placu rekreacyjno-sportowego w sołectwie Kościeleczki - I etap</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14</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10,8</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8,8</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nowych źródeł oświetlenia</w:t>
            </w:r>
          </w:p>
        </w:tc>
      </w:tr>
      <w:tr w:rsidR="00FB2534" w:rsidRPr="004D614C" w:rsidTr="009C2894">
        <w:trPr>
          <w:trHeight w:val="80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17</w:t>
            </w:r>
          </w:p>
        </w:tc>
        <w:tc>
          <w:tcPr>
            <w:tcW w:w="2771" w:type="dxa"/>
            <w:vAlign w:val="center"/>
          </w:tcPr>
          <w:p w:rsidR="00FB2534" w:rsidRPr="00AC1CBB" w:rsidRDefault="00FB2534" w:rsidP="007412D1">
            <w:pPr>
              <w:rPr>
                <w:rFonts w:ascii="Calibri" w:hAnsi="Calibri"/>
                <w:color w:val="000000"/>
                <w:sz w:val="18"/>
                <w:szCs w:val="18"/>
              </w:rPr>
            </w:pPr>
            <w:r w:rsidRPr="00AC1CBB">
              <w:rPr>
                <w:rFonts w:ascii="Calibri" w:hAnsi="Calibri"/>
                <w:color w:val="000000"/>
                <w:sz w:val="18"/>
                <w:szCs w:val="18"/>
              </w:rPr>
              <w:t>Oświetlenie altanki - placu rekreacyjno-sportowego w sołectwie Lasowice Wielkie</w:t>
            </w:r>
            <w:r>
              <w:rPr>
                <w:rFonts w:ascii="Calibri" w:hAnsi="Calibri"/>
                <w:color w:val="000000"/>
                <w:sz w:val="18"/>
                <w:szCs w:val="18"/>
              </w:rPr>
              <w:t xml:space="preserve"> </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2016-2020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1</w:t>
            </w:r>
            <w:r w:rsidRPr="00AC1CBB">
              <w:rPr>
                <w:rFonts w:ascii="Calibri" w:hAnsi="Calibri"/>
                <w:color w:val="000000"/>
                <w:sz w:val="18"/>
                <w:szCs w:val="18"/>
              </w:rPr>
              <w:t>0,5</w:t>
            </w:r>
          </w:p>
        </w:tc>
        <w:tc>
          <w:tcPr>
            <w:tcW w:w="1134"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3,1</w:t>
            </w:r>
          </w:p>
        </w:tc>
        <w:tc>
          <w:tcPr>
            <w:tcW w:w="851"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2,5</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nowych źródeł oświetlenia</w:t>
            </w:r>
          </w:p>
        </w:tc>
      </w:tr>
      <w:tr w:rsidR="00FB2534" w:rsidRPr="004D614C" w:rsidTr="009C2894">
        <w:trPr>
          <w:trHeight w:val="1648"/>
        </w:trPr>
        <w:tc>
          <w:tcPr>
            <w:tcW w:w="468" w:type="dxa"/>
            <w:noWrap/>
            <w:vAlign w:val="center"/>
          </w:tcPr>
          <w:p w:rsidR="00FB2534" w:rsidRPr="00AC1CBB" w:rsidRDefault="00FB2534" w:rsidP="00AD303C">
            <w:pPr>
              <w:jc w:val="center"/>
              <w:rPr>
                <w:rFonts w:ascii="Calibri" w:hAnsi="Calibri"/>
                <w:b/>
                <w:bCs/>
                <w:color w:val="000000"/>
                <w:sz w:val="18"/>
                <w:szCs w:val="18"/>
              </w:rPr>
            </w:pPr>
            <w:r>
              <w:rPr>
                <w:rFonts w:ascii="Calibri" w:hAnsi="Calibri"/>
                <w:b/>
                <w:bCs/>
                <w:color w:val="000000"/>
                <w:sz w:val="18"/>
                <w:szCs w:val="18"/>
              </w:rPr>
              <w:t>18</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 xml:space="preserve">Poprawa dostępności do przystanków transportu zbiorowego poprzez rozbudowę bazy infrastrukturalnej transportu rowerowego. Łącznie, w gminach: Malbork (m), Malbork (w) i Nowy Staw wybudowanych będzie 17,2 km dróg rowerowych, 2 garaże rowerowe i zakupionych zostanie 20 stojaków rowerowych. </w:t>
            </w:r>
          </w:p>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Część przypadająca na gminę Malbork (w).</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560FA3">
            <w:pPr>
              <w:jc w:val="center"/>
              <w:rPr>
                <w:rFonts w:ascii="Calibri" w:hAnsi="Calibri"/>
                <w:color w:val="000000"/>
                <w:sz w:val="18"/>
                <w:szCs w:val="18"/>
              </w:rPr>
            </w:pPr>
            <w:r w:rsidRPr="00AC1CBB">
              <w:rPr>
                <w:rFonts w:ascii="Calibri" w:hAnsi="Calibri"/>
                <w:color w:val="000000"/>
                <w:sz w:val="18"/>
                <w:szCs w:val="18"/>
              </w:rPr>
              <w:t>Urząd Gminy Malbork</w:t>
            </w:r>
          </w:p>
          <w:p w:rsidR="00FB2534" w:rsidRPr="00AC1CBB" w:rsidRDefault="00FB2534" w:rsidP="00560FA3">
            <w:pPr>
              <w:jc w:val="center"/>
              <w:rPr>
                <w:rFonts w:ascii="Calibri" w:hAnsi="Calibri"/>
                <w:color w:val="000000"/>
                <w:sz w:val="18"/>
                <w:szCs w:val="18"/>
              </w:rPr>
            </w:pPr>
            <w:r w:rsidRPr="00AC1CBB">
              <w:rPr>
                <w:rFonts w:ascii="Calibri" w:hAnsi="Calibri"/>
                <w:color w:val="000000"/>
                <w:sz w:val="18"/>
                <w:szCs w:val="18"/>
              </w:rPr>
              <w:t>(koordyna-torem całego projektu jest Urząd Miasta Malbork)</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3500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490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140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WFOŚiGW/RPO/POIiŚ/środki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km dróg rowerowych</w:t>
            </w:r>
          </w:p>
        </w:tc>
      </w:tr>
      <w:tr w:rsidR="00FB2534" w:rsidRPr="004D614C" w:rsidTr="009C2894">
        <w:trPr>
          <w:trHeight w:val="479"/>
        </w:trPr>
        <w:tc>
          <w:tcPr>
            <w:tcW w:w="468" w:type="dxa"/>
            <w:noWrap/>
            <w:vAlign w:val="center"/>
          </w:tcPr>
          <w:p w:rsidR="00FB2534" w:rsidRPr="00AC1CBB" w:rsidRDefault="00FB2534" w:rsidP="00AD303C">
            <w:pPr>
              <w:jc w:val="center"/>
              <w:rPr>
                <w:rFonts w:ascii="Calibri" w:hAnsi="Calibri"/>
                <w:b/>
                <w:bCs/>
                <w:color w:val="000000"/>
                <w:sz w:val="18"/>
                <w:szCs w:val="18"/>
              </w:rPr>
            </w:pPr>
            <w:r>
              <w:rPr>
                <w:rFonts w:ascii="Calibri" w:hAnsi="Calibri"/>
                <w:b/>
                <w:bCs/>
                <w:color w:val="000000"/>
                <w:sz w:val="18"/>
                <w:szCs w:val="18"/>
              </w:rPr>
              <w:t>19</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Budowa parkingów dla rowerów w obiektach publicznych</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175</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NFOŚiGW/WFOŚiGW/RPO/</w:t>
            </w:r>
          </w:p>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POIiŚ/środki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sztuk parkingów dla rowerów</w:t>
            </w:r>
          </w:p>
        </w:tc>
      </w:tr>
      <w:tr w:rsidR="00FB2534" w:rsidRPr="004D614C" w:rsidTr="00AC1CBB">
        <w:trPr>
          <w:trHeight w:val="285"/>
        </w:trPr>
        <w:tc>
          <w:tcPr>
            <w:tcW w:w="14047" w:type="dxa"/>
            <w:gridSpan w:val="11"/>
            <w:shd w:val="clear" w:color="auto" w:fill="BFBFBF"/>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Edukacja ekologiczna</w:t>
            </w:r>
          </w:p>
        </w:tc>
      </w:tr>
      <w:tr w:rsidR="00FB2534" w:rsidRPr="004D614C" w:rsidTr="009C2894">
        <w:trPr>
          <w:trHeight w:val="1198"/>
        </w:trPr>
        <w:tc>
          <w:tcPr>
            <w:tcW w:w="468" w:type="dxa"/>
            <w:noWrap/>
            <w:vAlign w:val="center"/>
          </w:tcPr>
          <w:p w:rsidR="00FB2534" w:rsidRPr="00AC1CBB" w:rsidRDefault="00FB2534" w:rsidP="00AD303C">
            <w:pPr>
              <w:jc w:val="center"/>
              <w:rPr>
                <w:rFonts w:ascii="Calibri" w:hAnsi="Calibri"/>
                <w:b/>
                <w:bCs/>
                <w:color w:val="000000"/>
                <w:sz w:val="18"/>
                <w:szCs w:val="18"/>
              </w:rPr>
            </w:pPr>
            <w:r>
              <w:rPr>
                <w:rFonts w:ascii="Calibri" w:hAnsi="Calibri"/>
                <w:b/>
                <w:bCs/>
                <w:color w:val="000000"/>
                <w:sz w:val="18"/>
                <w:szCs w:val="18"/>
              </w:rPr>
              <w:t>20</w:t>
            </w:r>
          </w:p>
        </w:tc>
        <w:tc>
          <w:tcPr>
            <w:tcW w:w="2771" w:type="dxa"/>
            <w:vAlign w:val="center"/>
          </w:tcPr>
          <w:p w:rsidR="00FB2534" w:rsidRPr="00AC1CBB" w:rsidRDefault="00FB2534" w:rsidP="004D614C">
            <w:pPr>
              <w:rPr>
                <w:rFonts w:ascii="Calibri" w:hAnsi="Calibri"/>
                <w:color w:val="000000"/>
                <w:sz w:val="18"/>
                <w:szCs w:val="18"/>
              </w:rPr>
            </w:pPr>
            <w:r w:rsidRPr="00AC1CBB">
              <w:rPr>
                <w:rFonts w:ascii="Calibri" w:hAnsi="Calibri"/>
                <w:color w:val="000000"/>
                <w:sz w:val="18"/>
                <w:szCs w:val="18"/>
              </w:rPr>
              <w:t>Wewnętrzna kampania promocyjna we wszystkich budynkach należących do urzędu gminy mająca na celu uświadomienie pracownikom oraz obsłudze budynków (ochrona, konserwacja) potrzebę oszczędności energii</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0,2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0,2</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NFOŚiGW/RPO (w ramach finansowanie krzyżowego)/środki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 xml:space="preserve">Przeprowadzenie kampanii promocyjnej  </w:t>
            </w:r>
          </w:p>
        </w:tc>
      </w:tr>
      <w:tr w:rsidR="00FB2534" w:rsidRPr="004D614C" w:rsidTr="009C2894">
        <w:trPr>
          <w:trHeight w:val="2247"/>
        </w:trPr>
        <w:tc>
          <w:tcPr>
            <w:tcW w:w="468" w:type="dxa"/>
            <w:noWrap/>
            <w:vAlign w:val="center"/>
          </w:tcPr>
          <w:p w:rsidR="00FB2534" w:rsidRPr="00AC1CBB" w:rsidRDefault="00FB2534" w:rsidP="00AD303C">
            <w:pPr>
              <w:jc w:val="center"/>
              <w:rPr>
                <w:rFonts w:ascii="Calibri" w:hAnsi="Calibri"/>
                <w:b/>
                <w:bCs/>
                <w:color w:val="000000"/>
                <w:sz w:val="18"/>
                <w:szCs w:val="18"/>
              </w:rPr>
            </w:pPr>
            <w:r>
              <w:rPr>
                <w:rFonts w:ascii="Calibri" w:hAnsi="Calibri"/>
                <w:b/>
                <w:bCs/>
                <w:color w:val="000000"/>
                <w:sz w:val="18"/>
                <w:szCs w:val="18"/>
              </w:rPr>
              <w:t>21</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Prowadzenie akcji promocyjno-edukacyjnych w zakresie odnawialnych źródeł energii, efektywności energetycznej, ochrony powietrza (jedna kampania rocznie, przed sezonem grzewczym uświadamiająca mieszkańcom wpływ zanieczyszczeń powietrza na zdrowie oraz szkodliwość spalania odpadów w piecach domowych).</w:t>
            </w:r>
            <w:r w:rsidRPr="00AC1CBB">
              <w:rPr>
                <w:rFonts w:ascii="Calibri" w:hAnsi="Calibri"/>
                <w:color w:val="000000"/>
                <w:sz w:val="18"/>
                <w:szCs w:val="18"/>
              </w:rPr>
              <w:br/>
              <w:t>Szkolenia z zakresu OZE zorganizowane dla mieszkańców i przedsiębiorców w celu zidentyfikowania przez uczestników możliwości które dają OZE oraz efektywność energetyczna.</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0,8</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NFOŚiGW/RPO (w ramach finansowanie krzyżowego)/środki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osób poddanych szkoleniu</w:t>
            </w:r>
          </w:p>
        </w:tc>
      </w:tr>
      <w:tr w:rsidR="00FB2534" w:rsidRPr="004D614C" w:rsidTr="009C2894">
        <w:trPr>
          <w:trHeight w:val="95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2</w:t>
            </w:r>
            <w:r>
              <w:rPr>
                <w:rFonts w:ascii="Calibri" w:hAnsi="Calibri"/>
                <w:b/>
                <w:bCs/>
                <w:color w:val="000000"/>
                <w:sz w:val="18"/>
                <w:szCs w:val="18"/>
              </w:rPr>
              <w:t>2</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Prowadzenie działań wspierających na rzecz przekonania mieszkańców do przeprowadzenia działań termomodernizacyjnych oraz korzystania z Odnawialnych Źródeł Energii</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NFOŚiGW/RPO (w ramach finansowanie krzyżowego)/środki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Przeprowadzenie kampanii informacyjnej</w:t>
            </w:r>
          </w:p>
        </w:tc>
      </w:tr>
      <w:tr w:rsidR="00FB2534" w:rsidRPr="004D614C" w:rsidTr="009C2894">
        <w:trPr>
          <w:trHeight w:val="539"/>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2</w:t>
            </w:r>
            <w:r>
              <w:rPr>
                <w:rFonts w:ascii="Calibri" w:hAnsi="Calibri"/>
                <w:b/>
                <w:bCs/>
                <w:color w:val="000000"/>
                <w:sz w:val="18"/>
                <w:szCs w:val="18"/>
              </w:rPr>
              <w:t>3</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Szkolenia dla mieszkańców i osób z administracji publicznej odnoszący się do eco-drivingu.</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15</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35</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NFOŚiGW/RPO (w ramach finansowanie krzyżowego)/środki własne jednostki realizującej</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Liczba osób poddanych szkoleniu</w:t>
            </w:r>
          </w:p>
        </w:tc>
      </w:tr>
      <w:tr w:rsidR="00FB2534" w:rsidRPr="004D614C" w:rsidTr="00AC1CBB">
        <w:trPr>
          <w:trHeight w:val="285"/>
        </w:trPr>
        <w:tc>
          <w:tcPr>
            <w:tcW w:w="14047" w:type="dxa"/>
            <w:gridSpan w:val="11"/>
            <w:shd w:val="clear" w:color="auto" w:fill="BFBFBF"/>
            <w:noWrap/>
            <w:vAlign w:val="center"/>
          </w:tcPr>
          <w:p w:rsidR="00FB2534" w:rsidRPr="00AC1CBB" w:rsidRDefault="00FB2534" w:rsidP="00E15022">
            <w:pPr>
              <w:jc w:val="center"/>
              <w:rPr>
                <w:rFonts w:ascii="Calibri" w:hAnsi="Calibri"/>
                <w:b/>
                <w:bCs/>
                <w:color w:val="000000"/>
                <w:sz w:val="18"/>
                <w:szCs w:val="18"/>
              </w:rPr>
            </w:pPr>
            <w:r w:rsidRPr="00AC1CBB">
              <w:rPr>
                <w:rFonts w:ascii="Calibri" w:hAnsi="Calibri"/>
                <w:b/>
                <w:bCs/>
                <w:color w:val="000000"/>
                <w:sz w:val="18"/>
                <w:szCs w:val="18"/>
              </w:rPr>
              <w:t>Działania inne</w:t>
            </w:r>
          </w:p>
        </w:tc>
      </w:tr>
      <w:tr w:rsidR="00FB2534" w:rsidRPr="004D614C" w:rsidTr="00A51C15">
        <w:trPr>
          <w:trHeight w:val="2908"/>
        </w:trPr>
        <w:tc>
          <w:tcPr>
            <w:tcW w:w="468" w:type="dxa"/>
            <w:noWrap/>
            <w:vAlign w:val="center"/>
          </w:tcPr>
          <w:p w:rsidR="00FB2534" w:rsidRPr="00AC1CBB" w:rsidRDefault="00FB2534" w:rsidP="00AD303C">
            <w:pPr>
              <w:jc w:val="center"/>
              <w:rPr>
                <w:rFonts w:ascii="Calibri" w:hAnsi="Calibri"/>
                <w:b/>
                <w:bCs/>
                <w:color w:val="000000"/>
                <w:sz w:val="18"/>
                <w:szCs w:val="18"/>
              </w:rPr>
            </w:pPr>
            <w:r w:rsidRPr="00AC1CBB">
              <w:rPr>
                <w:rFonts w:ascii="Calibri" w:hAnsi="Calibri"/>
                <w:b/>
                <w:bCs/>
                <w:color w:val="000000"/>
                <w:sz w:val="18"/>
                <w:szCs w:val="18"/>
              </w:rPr>
              <w:t>2</w:t>
            </w:r>
            <w:r>
              <w:rPr>
                <w:rFonts w:ascii="Calibri" w:hAnsi="Calibri"/>
                <w:b/>
                <w:bCs/>
                <w:color w:val="000000"/>
                <w:sz w:val="18"/>
                <w:szCs w:val="18"/>
              </w:rPr>
              <w:t>4</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Uwzględnianie w zamówieniach publicznych  problemów ochrony klimatu i powietrza, poprzez: odpowiednie przygotowywanie specyfikacji zamówień publicznych, które uwzględniać będą np. preferowanie w nowobudowanych budynkach ogrzewania z sieci gazowej lub niskoemisyjnych źródeł ciepła, promowanie rozwiązań efektywnych energetycznie, promowanie OZE.</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Wprowadzona procedura w zamówieniach publicznych uwzględniająca produkty i usługi efektywne energetycznie</w:t>
            </w:r>
          </w:p>
        </w:tc>
      </w:tr>
      <w:tr w:rsidR="00FB2534" w:rsidRPr="004D614C" w:rsidTr="009C2894">
        <w:trPr>
          <w:trHeight w:val="479"/>
        </w:trPr>
        <w:tc>
          <w:tcPr>
            <w:tcW w:w="468" w:type="dxa"/>
            <w:noWrap/>
            <w:vAlign w:val="center"/>
          </w:tcPr>
          <w:p w:rsidR="00FB2534" w:rsidRPr="00AC1CBB" w:rsidRDefault="00FB2534" w:rsidP="00843886">
            <w:pPr>
              <w:jc w:val="center"/>
              <w:rPr>
                <w:rFonts w:ascii="Calibri" w:hAnsi="Calibri"/>
                <w:b/>
                <w:bCs/>
                <w:color w:val="000000"/>
                <w:sz w:val="18"/>
                <w:szCs w:val="18"/>
              </w:rPr>
            </w:pPr>
            <w:r w:rsidRPr="00AC1CBB">
              <w:rPr>
                <w:rFonts w:ascii="Calibri" w:hAnsi="Calibri"/>
                <w:b/>
                <w:bCs/>
                <w:color w:val="000000"/>
                <w:sz w:val="18"/>
                <w:szCs w:val="18"/>
              </w:rPr>
              <w:t>2</w:t>
            </w:r>
            <w:r>
              <w:rPr>
                <w:rFonts w:ascii="Calibri" w:hAnsi="Calibri"/>
                <w:b/>
                <w:bCs/>
                <w:color w:val="000000"/>
                <w:sz w:val="18"/>
                <w:szCs w:val="18"/>
              </w:rPr>
              <w:t>5</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Uwzględnienie kryteriów zrównoważonego rozwoju, w tym energetycznych w planowaniu przestrzennym.</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Wprowadzone zapisy w planach zagospodarowania przestrzennego promujące ekoprojektowanie i efektywność energetyczną</w:t>
            </w:r>
          </w:p>
        </w:tc>
      </w:tr>
      <w:tr w:rsidR="00FB2534" w:rsidRPr="004D614C" w:rsidTr="009C2894">
        <w:trPr>
          <w:trHeight w:val="479"/>
        </w:trPr>
        <w:tc>
          <w:tcPr>
            <w:tcW w:w="468" w:type="dxa"/>
            <w:noWrap/>
            <w:vAlign w:val="center"/>
          </w:tcPr>
          <w:p w:rsidR="00FB2534" w:rsidRPr="00AC1CBB" w:rsidRDefault="00FB2534" w:rsidP="00843886">
            <w:pPr>
              <w:jc w:val="center"/>
              <w:rPr>
                <w:rFonts w:ascii="Calibri" w:hAnsi="Calibri"/>
                <w:b/>
                <w:bCs/>
                <w:color w:val="000000"/>
                <w:sz w:val="18"/>
                <w:szCs w:val="18"/>
              </w:rPr>
            </w:pPr>
            <w:r w:rsidRPr="00AC1CBB">
              <w:rPr>
                <w:rFonts w:ascii="Calibri" w:hAnsi="Calibri"/>
                <w:b/>
                <w:bCs/>
                <w:color w:val="000000"/>
                <w:sz w:val="18"/>
                <w:szCs w:val="18"/>
              </w:rPr>
              <w:t>2</w:t>
            </w:r>
            <w:r>
              <w:rPr>
                <w:rFonts w:ascii="Calibri" w:hAnsi="Calibri"/>
                <w:b/>
                <w:bCs/>
                <w:color w:val="000000"/>
                <w:sz w:val="18"/>
                <w:szCs w:val="18"/>
              </w:rPr>
              <w:t>6</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Wyznaczenie stref, gdzie można budować tylko budynki niskoemisyjne</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2,4</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Wyznaczenie stref w dokumentach planistycznych</w:t>
            </w:r>
          </w:p>
        </w:tc>
      </w:tr>
      <w:tr w:rsidR="00FB2534" w:rsidRPr="004D614C" w:rsidTr="009C2894">
        <w:trPr>
          <w:trHeight w:val="719"/>
        </w:trPr>
        <w:tc>
          <w:tcPr>
            <w:tcW w:w="468" w:type="dxa"/>
            <w:noWrap/>
            <w:vAlign w:val="center"/>
          </w:tcPr>
          <w:p w:rsidR="00FB2534" w:rsidRPr="00AC1CBB" w:rsidRDefault="00FB2534" w:rsidP="00843886">
            <w:pPr>
              <w:jc w:val="center"/>
              <w:rPr>
                <w:rFonts w:ascii="Calibri" w:hAnsi="Calibri"/>
                <w:b/>
                <w:bCs/>
                <w:color w:val="000000"/>
                <w:sz w:val="18"/>
                <w:szCs w:val="18"/>
              </w:rPr>
            </w:pPr>
            <w:r>
              <w:rPr>
                <w:rFonts w:ascii="Calibri" w:hAnsi="Calibri"/>
                <w:b/>
                <w:bCs/>
                <w:color w:val="000000"/>
                <w:sz w:val="18"/>
                <w:szCs w:val="18"/>
              </w:rPr>
              <w:t>27</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Branie pod uwagę wymogów transportowych podczas planowania obiektów, do których będzie uczęszczać znaczna liczba mieszkańców.</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100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2,4</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Wprowadzone zapisy w planach zagospodarowania przestrzennego promujące ekoprojektowanie i efektywność energetyczną</w:t>
            </w:r>
          </w:p>
        </w:tc>
      </w:tr>
      <w:tr w:rsidR="00FB2534" w:rsidRPr="004D614C" w:rsidTr="009C2894">
        <w:trPr>
          <w:trHeight w:val="479"/>
        </w:trPr>
        <w:tc>
          <w:tcPr>
            <w:tcW w:w="468" w:type="dxa"/>
            <w:noWrap/>
            <w:vAlign w:val="center"/>
          </w:tcPr>
          <w:p w:rsidR="00FB2534" w:rsidRPr="00AC1CBB" w:rsidRDefault="00FB2534" w:rsidP="00843886">
            <w:pPr>
              <w:jc w:val="center"/>
              <w:rPr>
                <w:rFonts w:ascii="Calibri" w:hAnsi="Calibri"/>
                <w:b/>
                <w:bCs/>
                <w:color w:val="000000"/>
                <w:sz w:val="18"/>
                <w:szCs w:val="18"/>
              </w:rPr>
            </w:pPr>
            <w:r>
              <w:rPr>
                <w:rFonts w:ascii="Calibri" w:hAnsi="Calibri"/>
                <w:b/>
                <w:bCs/>
                <w:color w:val="000000"/>
                <w:sz w:val="18"/>
                <w:szCs w:val="18"/>
              </w:rPr>
              <w:t>28</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Przyjęcie zasady zrównoważonego rozwoju przy zakupach dla Urzędu Gminy</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25</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1,2</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1</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Sporządzenie dokumentu/procedury zakupów</w:t>
            </w:r>
          </w:p>
        </w:tc>
      </w:tr>
      <w:tr w:rsidR="00FB2534" w:rsidRPr="004D614C" w:rsidTr="009C2894">
        <w:trPr>
          <w:trHeight w:val="914"/>
        </w:trPr>
        <w:tc>
          <w:tcPr>
            <w:tcW w:w="468" w:type="dxa"/>
            <w:noWrap/>
            <w:vAlign w:val="center"/>
          </w:tcPr>
          <w:p w:rsidR="00FB2534" w:rsidRPr="00AC1CBB" w:rsidRDefault="00FB2534" w:rsidP="00843886">
            <w:pPr>
              <w:jc w:val="center"/>
              <w:rPr>
                <w:rFonts w:ascii="Calibri" w:hAnsi="Calibri"/>
                <w:b/>
                <w:bCs/>
                <w:color w:val="000000"/>
                <w:sz w:val="18"/>
                <w:szCs w:val="18"/>
              </w:rPr>
            </w:pPr>
            <w:r>
              <w:rPr>
                <w:rFonts w:ascii="Calibri" w:hAnsi="Calibri"/>
                <w:b/>
                <w:bCs/>
                <w:color w:val="000000"/>
                <w:sz w:val="18"/>
                <w:szCs w:val="18"/>
              </w:rPr>
              <w:t>29</w:t>
            </w:r>
          </w:p>
        </w:tc>
        <w:tc>
          <w:tcPr>
            <w:tcW w:w="2771" w:type="dxa"/>
            <w:vAlign w:val="center"/>
          </w:tcPr>
          <w:p w:rsidR="00FB2534" w:rsidRPr="00AC1CBB" w:rsidRDefault="00FB2534" w:rsidP="00E15022">
            <w:pPr>
              <w:rPr>
                <w:rFonts w:ascii="Calibri" w:hAnsi="Calibri"/>
                <w:color w:val="000000"/>
                <w:sz w:val="18"/>
                <w:szCs w:val="18"/>
              </w:rPr>
            </w:pPr>
            <w:r w:rsidRPr="00AC1CBB">
              <w:rPr>
                <w:rFonts w:ascii="Calibri" w:hAnsi="Calibri"/>
                <w:color w:val="000000"/>
                <w:sz w:val="18"/>
                <w:szCs w:val="18"/>
              </w:rPr>
              <w:t>Wspieranie inicjatyw w zakresie oszczędzania energii i wydajności w gospodarstwach rolnych, przemyśle, handlu w celu zahamowania zmian klimatu</w:t>
            </w:r>
          </w:p>
        </w:tc>
        <w:tc>
          <w:tcPr>
            <w:tcW w:w="91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W</w:t>
            </w:r>
          </w:p>
        </w:tc>
        <w:tc>
          <w:tcPr>
            <w:tcW w:w="992"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Urząd Gminy</w:t>
            </w:r>
          </w:p>
        </w:tc>
        <w:tc>
          <w:tcPr>
            <w:tcW w:w="851"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2015-2020</w:t>
            </w:r>
          </w:p>
        </w:tc>
        <w:tc>
          <w:tcPr>
            <w:tcW w:w="850"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D</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w:t>
            </w:r>
          </w:p>
        </w:tc>
        <w:tc>
          <w:tcPr>
            <w:tcW w:w="1134"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60</w:t>
            </w:r>
          </w:p>
        </w:tc>
        <w:tc>
          <w:tcPr>
            <w:tcW w:w="851" w:type="dxa"/>
            <w:noWrap/>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50</w:t>
            </w:r>
          </w:p>
        </w:tc>
        <w:tc>
          <w:tcPr>
            <w:tcW w:w="2387"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color w:val="000000"/>
                <w:sz w:val="18"/>
                <w:szCs w:val="18"/>
              </w:rPr>
              <w:t>budżet Gminy</w:t>
            </w:r>
          </w:p>
        </w:tc>
        <w:tc>
          <w:tcPr>
            <w:tcW w:w="1695" w:type="dxa"/>
            <w:vAlign w:val="center"/>
          </w:tcPr>
          <w:p w:rsidR="00FB2534" w:rsidRPr="00AC1CBB" w:rsidRDefault="00FB2534" w:rsidP="00E15022">
            <w:pPr>
              <w:jc w:val="center"/>
              <w:rPr>
                <w:rFonts w:ascii="Calibri" w:hAnsi="Calibri"/>
                <w:color w:val="000000"/>
                <w:sz w:val="18"/>
                <w:szCs w:val="18"/>
              </w:rPr>
            </w:pPr>
            <w:r w:rsidRPr="00AC1CBB">
              <w:rPr>
                <w:rFonts w:ascii="Calibri" w:hAnsi="Calibri"/>
                <w:sz w:val="18"/>
                <w:szCs w:val="18"/>
              </w:rPr>
              <w:t>% zrealizowanego projektu</w:t>
            </w:r>
          </w:p>
        </w:tc>
      </w:tr>
      <w:tr w:rsidR="00FB2534" w:rsidRPr="004D614C" w:rsidTr="009C2894">
        <w:trPr>
          <w:trHeight w:val="914"/>
        </w:trPr>
        <w:tc>
          <w:tcPr>
            <w:tcW w:w="468" w:type="dxa"/>
            <w:noWrap/>
            <w:vAlign w:val="center"/>
          </w:tcPr>
          <w:p w:rsidR="00FB2534" w:rsidRPr="00AC1CBB" w:rsidRDefault="00FB2534" w:rsidP="00843886">
            <w:pPr>
              <w:jc w:val="center"/>
              <w:rPr>
                <w:rFonts w:ascii="Calibri" w:hAnsi="Calibri"/>
                <w:b/>
                <w:bCs/>
                <w:color w:val="000000"/>
                <w:sz w:val="18"/>
                <w:szCs w:val="18"/>
              </w:rPr>
            </w:pPr>
            <w:r>
              <w:rPr>
                <w:rFonts w:ascii="Calibri" w:hAnsi="Calibri"/>
                <w:b/>
                <w:bCs/>
                <w:color w:val="000000"/>
                <w:sz w:val="18"/>
                <w:szCs w:val="18"/>
              </w:rPr>
              <w:t>30</w:t>
            </w:r>
          </w:p>
        </w:tc>
        <w:tc>
          <w:tcPr>
            <w:tcW w:w="2771" w:type="dxa"/>
            <w:vAlign w:val="center"/>
          </w:tcPr>
          <w:p w:rsidR="00FB2534" w:rsidRPr="00AC1CBB" w:rsidRDefault="00FB2534" w:rsidP="00AD303C">
            <w:pPr>
              <w:rPr>
                <w:rFonts w:ascii="Calibri" w:hAnsi="Calibri"/>
                <w:sz w:val="18"/>
                <w:szCs w:val="18"/>
              </w:rPr>
            </w:pPr>
            <w:r w:rsidRPr="00AC1CBB">
              <w:rPr>
                <w:rFonts w:ascii="Calibri" w:hAnsi="Calibri"/>
                <w:color w:val="000000"/>
                <w:sz w:val="18"/>
                <w:szCs w:val="18"/>
              </w:rPr>
              <w:t>Zarządzanie projektami dofinansowania działań z zakresu efektywności energetycznej, wykorzystania OZE, na terenie gminy, w ramach dostępnych programów wspierających np. Prosument (zakup i montaż mikroinstalacji i OZE)</w:t>
            </w:r>
          </w:p>
        </w:tc>
        <w:tc>
          <w:tcPr>
            <w:tcW w:w="914" w:type="dxa"/>
            <w:noWrap/>
            <w:vAlign w:val="center"/>
          </w:tcPr>
          <w:p w:rsidR="00FB2534" w:rsidRPr="00AC1CBB" w:rsidRDefault="00FB2534" w:rsidP="00E15022">
            <w:pPr>
              <w:jc w:val="center"/>
              <w:rPr>
                <w:rFonts w:ascii="Calibri" w:hAnsi="Calibri"/>
                <w:sz w:val="18"/>
                <w:szCs w:val="18"/>
              </w:rPr>
            </w:pPr>
            <w:r w:rsidRPr="00AC1CBB">
              <w:rPr>
                <w:rFonts w:ascii="Calibri" w:hAnsi="Calibri"/>
                <w:sz w:val="18"/>
                <w:szCs w:val="18"/>
              </w:rPr>
              <w:t>W, KO</w:t>
            </w:r>
          </w:p>
        </w:tc>
        <w:tc>
          <w:tcPr>
            <w:tcW w:w="992" w:type="dxa"/>
            <w:vAlign w:val="center"/>
          </w:tcPr>
          <w:p w:rsidR="00FB2534" w:rsidRPr="00AC1CBB" w:rsidRDefault="00FB2534" w:rsidP="00E15022">
            <w:pPr>
              <w:jc w:val="center"/>
              <w:rPr>
                <w:rFonts w:ascii="Calibri" w:hAnsi="Calibri"/>
                <w:sz w:val="18"/>
                <w:szCs w:val="18"/>
              </w:rPr>
            </w:pPr>
            <w:r w:rsidRPr="00AC1CBB">
              <w:rPr>
                <w:rFonts w:ascii="Calibri" w:hAnsi="Calibri"/>
                <w:color w:val="000000"/>
                <w:sz w:val="18"/>
                <w:szCs w:val="18"/>
              </w:rPr>
              <w:t>Urząd Gminy</w:t>
            </w:r>
            <w:r w:rsidRPr="00AC1CBB">
              <w:rPr>
                <w:rFonts w:ascii="Calibri" w:hAnsi="Calibri"/>
                <w:sz w:val="18"/>
                <w:szCs w:val="18"/>
              </w:rPr>
              <w:t>, jednostki samorządu</w:t>
            </w:r>
          </w:p>
        </w:tc>
        <w:tc>
          <w:tcPr>
            <w:tcW w:w="851" w:type="dxa"/>
            <w:vAlign w:val="center"/>
          </w:tcPr>
          <w:p w:rsidR="00FB2534" w:rsidRPr="00AC1CBB" w:rsidRDefault="00FB2534" w:rsidP="00E15022">
            <w:pPr>
              <w:jc w:val="center"/>
              <w:rPr>
                <w:rFonts w:ascii="Calibri" w:hAnsi="Calibri"/>
                <w:sz w:val="18"/>
                <w:szCs w:val="18"/>
              </w:rPr>
            </w:pPr>
            <w:r w:rsidRPr="00AC1CBB">
              <w:rPr>
                <w:rFonts w:ascii="Calibri" w:hAnsi="Calibri"/>
                <w:sz w:val="18"/>
                <w:szCs w:val="18"/>
              </w:rPr>
              <w:t>2015-2020</w:t>
            </w:r>
          </w:p>
        </w:tc>
        <w:tc>
          <w:tcPr>
            <w:tcW w:w="850" w:type="dxa"/>
            <w:noWrap/>
            <w:vAlign w:val="center"/>
          </w:tcPr>
          <w:p w:rsidR="00FB2534" w:rsidRPr="00AC1CBB" w:rsidRDefault="00FB2534" w:rsidP="00E15022">
            <w:pPr>
              <w:jc w:val="center"/>
              <w:rPr>
                <w:rFonts w:ascii="Calibri" w:hAnsi="Calibri"/>
                <w:sz w:val="18"/>
                <w:szCs w:val="18"/>
              </w:rPr>
            </w:pPr>
            <w:r w:rsidRPr="00AC1CBB">
              <w:rPr>
                <w:rFonts w:ascii="Calibri" w:hAnsi="Calibri"/>
                <w:sz w:val="18"/>
                <w:szCs w:val="18"/>
              </w:rPr>
              <w:t>Ś, C</w:t>
            </w:r>
          </w:p>
        </w:tc>
        <w:tc>
          <w:tcPr>
            <w:tcW w:w="1134" w:type="dxa"/>
            <w:noWrap/>
            <w:vAlign w:val="center"/>
          </w:tcPr>
          <w:p w:rsidR="00FB2534" w:rsidRPr="00AC1CBB" w:rsidRDefault="00FB2534" w:rsidP="00AD303C">
            <w:pPr>
              <w:jc w:val="center"/>
              <w:rPr>
                <w:rFonts w:ascii="Calibri" w:hAnsi="Calibri"/>
                <w:bCs/>
                <w:sz w:val="18"/>
                <w:szCs w:val="18"/>
              </w:rPr>
            </w:pPr>
            <w:r w:rsidRPr="00AC1CBB">
              <w:rPr>
                <w:rFonts w:ascii="Calibri" w:hAnsi="Calibri"/>
                <w:bCs/>
                <w:sz w:val="18"/>
                <w:szCs w:val="18"/>
              </w:rPr>
              <w:t>25</w:t>
            </w:r>
          </w:p>
        </w:tc>
        <w:tc>
          <w:tcPr>
            <w:tcW w:w="1134" w:type="dxa"/>
            <w:noWrap/>
            <w:vAlign w:val="center"/>
          </w:tcPr>
          <w:p w:rsidR="00FB2534" w:rsidRPr="00AC1CBB" w:rsidRDefault="00FB2534" w:rsidP="00E15022">
            <w:pPr>
              <w:jc w:val="center"/>
              <w:rPr>
                <w:rFonts w:ascii="Calibri" w:hAnsi="Calibri"/>
                <w:bCs/>
                <w:sz w:val="18"/>
                <w:szCs w:val="18"/>
              </w:rPr>
            </w:pPr>
            <w:r w:rsidRPr="00AC1CBB">
              <w:rPr>
                <w:rFonts w:ascii="Calibri" w:hAnsi="Calibri"/>
                <w:bCs/>
                <w:sz w:val="18"/>
                <w:szCs w:val="18"/>
              </w:rPr>
              <w:t>107</w:t>
            </w:r>
          </w:p>
        </w:tc>
        <w:tc>
          <w:tcPr>
            <w:tcW w:w="851" w:type="dxa"/>
            <w:noWrap/>
            <w:vAlign w:val="center"/>
          </w:tcPr>
          <w:p w:rsidR="00FB2534" w:rsidRPr="00AC1CBB" w:rsidRDefault="00FB2534" w:rsidP="00E15022">
            <w:pPr>
              <w:jc w:val="center"/>
              <w:rPr>
                <w:rFonts w:ascii="Calibri" w:hAnsi="Calibri"/>
                <w:bCs/>
                <w:sz w:val="18"/>
                <w:szCs w:val="18"/>
              </w:rPr>
            </w:pPr>
            <w:r w:rsidRPr="00AC1CBB">
              <w:rPr>
                <w:rFonts w:ascii="Calibri" w:hAnsi="Calibri"/>
                <w:bCs/>
                <w:sz w:val="18"/>
                <w:szCs w:val="18"/>
              </w:rPr>
              <w:t>49</w:t>
            </w:r>
          </w:p>
        </w:tc>
        <w:tc>
          <w:tcPr>
            <w:tcW w:w="2387" w:type="dxa"/>
            <w:vAlign w:val="center"/>
          </w:tcPr>
          <w:p w:rsidR="00FB2534" w:rsidRPr="00AC1CBB" w:rsidRDefault="00FB2534" w:rsidP="00E15022">
            <w:pPr>
              <w:jc w:val="center"/>
              <w:rPr>
                <w:rFonts w:ascii="Calibri" w:hAnsi="Calibri"/>
                <w:sz w:val="18"/>
                <w:szCs w:val="18"/>
              </w:rPr>
            </w:pPr>
            <w:r w:rsidRPr="00AC1CBB">
              <w:rPr>
                <w:rFonts w:ascii="Calibri" w:hAnsi="Calibri"/>
                <w:sz w:val="18"/>
                <w:szCs w:val="18"/>
              </w:rPr>
              <w:t>NFOŚ/środki własne jednostki realizującej</w:t>
            </w:r>
          </w:p>
        </w:tc>
        <w:tc>
          <w:tcPr>
            <w:tcW w:w="1695" w:type="dxa"/>
            <w:vAlign w:val="center"/>
          </w:tcPr>
          <w:p w:rsidR="00FB2534" w:rsidRPr="00AC1CBB" w:rsidRDefault="00FB2534" w:rsidP="00E15022">
            <w:pPr>
              <w:jc w:val="center"/>
              <w:rPr>
                <w:rFonts w:ascii="Calibri" w:hAnsi="Calibri"/>
                <w:sz w:val="18"/>
                <w:szCs w:val="18"/>
              </w:rPr>
            </w:pPr>
            <w:r w:rsidRPr="00AC1CBB">
              <w:rPr>
                <w:rFonts w:ascii="Calibri" w:hAnsi="Calibri"/>
                <w:sz w:val="18"/>
                <w:szCs w:val="18"/>
              </w:rPr>
              <w:t>Liczba projektów dofinansowania działań z zakresu efektywności energetycznej, wykorzystania OZE</w:t>
            </w:r>
          </w:p>
        </w:tc>
      </w:tr>
      <w:tr w:rsidR="00FB2534" w:rsidRPr="004D614C" w:rsidTr="00AC1CBB">
        <w:trPr>
          <w:trHeight w:val="324"/>
        </w:trPr>
        <w:tc>
          <w:tcPr>
            <w:tcW w:w="468" w:type="dxa"/>
            <w:shd w:val="clear" w:color="auto" w:fill="C6D9F1"/>
            <w:noWrap/>
            <w:vAlign w:val="center"/>
          </w:tcPr>
          <w:p w:rsidR="00FB2534" w:rsidRPr="00AC1CBB" w:rsidRDefault="00FB2534" w:rsidP="00E15022">
            <w:pPr>
              <w:jc w:val="center"/>
              <w:rPr>
                <w:rFonts w:ascii="Calibri" w:hAnsi="Calibri"/>
                <w:b/>
                <w:bCs/>
                <w:color w:val="000000"/>
                <w:sz w:val="18"/>
                <w:szCs w:val="18"/>
              </w:rPr>
            </w:pPr>
          </w:p>
        </w:tc>
        <w:tc>
          <w:tcPr>
            <w:tcW w:w="2771" w:type="dxa"/>
            <w:shd w:val="clear" w:color="auto" w:fill="C6D9F1"/>
            <w:vAlign w:val="center"/>
          </w:tcPr>
          <w:p w:rsidR="00FB2534" w:rsidRPr="00AC1CBB" w:rsidRDefault="00FB2534" w:rsidP="00E15022">
            <w:pPr>
              <w:rPr>
                <w:rFonts w:ascii="Calibri" w:hAnsi="Calibri"/>
                <w:b/>
                <w:color w:val="000000"/>
                <w:sz w:val="18"/>
                <w:szCs w:val="18"/>
              </w:rPr>
            </w:pPr>
            <w:r w:rsidRPr="00AC1CBB">
              <w:rPr>
                <w:rFonts w:ascii="Calibri" w:hAnsi="Calibri"/>
                <w:b/>
                <w:color w:val="000000"/>
                <w:sz w:val="18"/>
                <w:szCs w:val="18"/>
              </w:rPr>
              <w:t>RAZEM</w:t>
            </w:r>
          </w:p>
        </w:tc>
        <w:tc>
          <w:tcPr>
            <w:tcW w:w="914" w:type="dxa"/>
            <w:shd w:val="clear" w:color="auto" w:fill="C6D9F1"/>
            <w:noWrap/>
            <w:vAlign w:val="center"/>
          </w:tcPr>
          <w:p w:rsidR="00FB2534" w:rsidRPr="00AC1CBB" w:rsidRDefault="00FB2534" w:rsidP="00E15022">
            <w:pPr>
              <w:jc w:val="center"/>
              <w:rPr>
                <w:rFonts w:ascii="Calibri" w:hAnsi="Calibri"/>
                <w:color w:val="000000"/>
                <w:sz w:val="18"/>
                <w:szCs w:val="18"/>
              </w:rPr>
            </w:pPr>
          </w:p>
        </w:tc>
        <w:tc>
          <w:tcPr>
            <w:tcW w:w="992" w:type="dxa"/>
            <w:shd w:val="clear" w:color="auto" w:fill="C6D9F1"/>
            <w:vAlign w:val="center"/>
          </w:tcPr>
          <w:p w:rsidR="00FB2534" w:rsidRPr="00AC1CBB" w:rsidRDefault="00FB2534" w:rsidP="00E15022">
            <w:pPr>
              <w:jc w:val="center"/>
              <w:rPr>
                <w:rFonts w:ascii="Calibri" w:hAnsi="Calibri"/>
                <w:color w:val="000000"/>
                <w:sz w:val="18"/>
                <w:szCs w:val="18"/>
              </w:rPr>
            </w:pPr>
          </w:p>
        </w:tc>
        <w:tc>
          <w:tcPr>
            <w:tcW w:w="851" w:type="dxa"/>
            <w:shd w:val="clear" w:color="auto" w:fill="C6D9F1"/>
            <w:vAlign w:val="center"/>
          </w:tcPr>
          <w:p w:rsidR="00FB2534" w:rsidRPr="00AC1CBB" w:rsidRDefault="00FB2534" w:rsidP="00E15022">
            <w:pPr>
              <w:jc w:val="center"/>
              <w:rPr>
                <w:rFonts w:ascii="Calibri" w:hAnsi="Calibri"/>
                <w:color w:val="000000"/>
                <w:sz w:val="18"/>
                <w:szCs w:val="18"/>
              </w:rPr>
            </w:pPr>
          </w:p>
        </w:tc>
        <w:tc>
          <w:tcPr>
            <w:tcW w:w="850" w:type="dxa"/>
            <w:shd w:val="clear" w:color="auto" w:fill="C6D9F1"/>
            <w:noWrap/>
            <w:vAlign w:val="center"/>
          </w:tcPr>
          <w:p w:rsidR="00FB2534" w:rsidRPr="00AC1CBB" w:rsidRDefault="00FB2534" w:rsidP="00E15022">
            <w:pPr>
              <w:jc w:val="center"/>
              <w:rPr>
                <w:rFonts w:ascii="Calibri" w:hAnsi="Calibri"/>
                <w:color w:val="000000"/>
                <w:sz w:val="18"/>
                <w:szCs w:val="18"/>
              </w:rPr>
            </w:pPr>
          </w:p>
        </w:tc>
        <w:tc>
          <w:tcPr>
            <w:tcW w:w="1134" w:type="dxa"/>
            <w:shd w:val="clear" w:color="auto" w:fill="C6D9F1"/>
            <w:noWrap/>
            <w:vAlign w:val="center"/>
          </w:tcPr>
          <w:p w:rsidR="00FB2534" w:rsidRPr="00AC1CBB" w:rsidRDefault="00FB2534" w:rsidP="004E1A0B">
            <w:pPr>
              <w:jc w:val="center"/>
              <w:rPr>
                <w:rFonts w:ascii="Calibri" w:hAnsi="Calibri" w:cs="Arial"/>
                <w:b/>
                <w:color w:val="000000"/>
                <w:sz w:val="18"/>
                <w:szCs w:val="18"/>
              </w:rPr>
            </w:pPr>
            <w:r>
              <w:rPr>
                <w:rFonts w:ascii="Calibri" w:hAnsi="Calibri" w:cs="Arial"/>
                <w:b/>
                <w:color w:val="000000"/>
                <w:sz w:val="18"/>
                <w:szCs w:val="18"/>
              </w:rPr>
              <w:t>10 172,5</w:t>
            </w:r>
          </w:p>
        </w:tc>
        <w:tc>
          <w:tcPr>
            <w:tcW w:w="1134" w:type="dxa"/>
            <w:shd w:val="clear" w:color="auto" w:fill="C6D9F1"/>
            <w:noWrap/>
            <w:vAlign w:val="center"/>
          </w:tcPr>
          <w:p w:rsidR="00FB2534" w:rsidRPr="00AC1CBB" w:rsidRDefault="00FB2534" w:rsidP="004E1A0B">
            <w:pPr>
              <w:jc w:val="center"/>
              <w:rPr>
                <w:rFonts w:ascii="Calibri" w:hAnsi="Calibri" w:cs="Arial"/>
                <w:b/>
                <w:color w:val="000000"/>
                <w:sz w:val="18"/>
                <w:szCs w:val="18"/>
              </w:rPr>
            </w:pPr>
            <w:r>
              <w:rPr>
                <w:rFonts w:ascii="Calibri" w:hAnsi="Calibri" w:cs="Arial"/>
                <w:b/>
                <w:color w:val="000000"/>
                <w:sz w:val="18"/>
                <w:szCs w:val="18"/>
              </w:rPr>
              <w:t>2 201,1</w:t>
            </w:r>
          </w:p>
        </w:tc>
        <w:tc>
          <w:tcPr>
            <w:tcW w:w="851" w:type="dxa"/>
            <w:shd w:val="clear" w:color="auto" w:fill="C6D9F1"/>
            <w:noWrap/>
            <w:vAlign w:val="center"/>
          </w:tcPr>
          <w:p w:rsidR="00FB2534" w:rsidRPr="00AC1CBB" w:rsidRDefault="00FB2534" w:rsidP="004E1A0B">
            <w:pPr>
              <w:jc w:val="center"/>
              <w:rPr>
                <w:rFonts w:ascii="Calibri" w:hAnsi="Calibri" w:cs="Arial"/>
                <w:b/>
                <w:color w:val="000000"/>
                <w:sz w:val="18"/>
                <w:szCs w:val="18"/>
              </w:rPr>
            </w:pPr>
            <w:r>
              <w:rPr>
                <w:rFonts w:ascii="Calibri" w:hAnsi="Calibri" w:cs="Arial"/>
                <w:b/>
                <w:color w:val="000000"/>
                <w:sz w:val="18"/>
                <w:szCs w:val="18"/>
              </w:rPr>
              <w:t>1 544,3</w:t>
            </w:r>
          </w:p>
        </w:tc>
        <w:tc>
          <w:tcPr>
            <w:tcW w:w="2387" w:type="dxa"/>
            <w:shd w:val="clear" w:color="auto" w:fill="C6D9F1"/>
            <w:vAlign w:val="center"/>
          </w:tcPr>
          <w:p w:rsidR="00FB2534" w:rsidRPr="00AC1CBB" w:rsidRDefault="00FB2534" w:rsidP="00E15022">
            <w:pPr>
              <w:jc w:val="center"/>
              <w:rPr>
                <w:rFonts w:ascii="Calibri" w:hAnsi="Calibri"/>
                <w:color w:val="000000"/>
                <w:sz w:val="18"/>
                <w:szCs w:val="18"/>
              </w:rPr>
            </w:pPr>
          </w:p>
        </w:tc>
        <w:tc>
          <w:tcPr>
            <w:tcW w:w="1695" w:type="dxa"/>
            <w:shd w:val="clear" w:color="auto" w:fill="C6D9F1"/>
          </w:tcPr>
          <w:p w:rsidR="00FB2534" w:rsidRPr="00AC1CBB" w:rsidRDefault="00FB2534" w:rsidP="00E15022">
            <w:pPr>
              <w:jc w:val="center"/>
              <w:rPr>
                <w:rFonts w:ascii="Calibri" w:hAnsi="Calibri"/>
                <w:color w:val="000000"/>
                <w:sz w:val="18"/>
                <w:szCs w:val="18"/>
              </w:rPr>
            </w:pPr>
          </w:p>
        </w:tc>
      </w:tr>
    </w:tbl>
    <w:p w:rsidR="00FB2534" w:rsidRDefault="00FB2534" w:rsidP="00390985">
      <w:pPr>
        <w:pStyle w:val="GOMnormal"/>
        <w:spacing w:before="0" w:after="0"/>
        <w:contextualSpacing/>
        <w:jc w:val="left"/>
      </w:pPr>
      <w:r>
        <w:t>* W - własne, KO – koordynowane.</w:t>
      </w:r>
    </w:p>
    <w:p w:rsidR="00FB2534" w:rsidRDefault="00FB2534" w:rsidP="008D602C">
      <w:pPr>
        <w:pStyle w:val="GOMnormal"/>
      </w:pPr>
      <w:r>
        <w:t>** K – krótkoterminowe, Ś – średnioterminowe, D – długoterminowe, C – ciągłe</w:t>
      </w:r>
    </w:p>
    <w:p w:rsidR="00FB2534" w:rsidRDefault="00FB2534" w:rsidP="008D602C">
      <w:pPr>
        <w:pStyle w:val="GOMnormal"/>
      </w:pPr>
      <w:r>
        <w:t xml:space="preserve"> Działania nr 10, 24, 25, 27, 33 przyczyniają się do zwiększenia udziału energii pochodzącej ze źródeł odnawialnych.</w:t>
      </w:r>
    </w:p>
    <w:p w:rsidR="00FB2534" w:rsidRDefault="00FB2534" w:rsidP="00390985">
      <w:pPr>
        <w:pStyle w:val="GOMnormal"/>
        <w:contextualSpacing/>
        <w:jc w:val="left"/>
        <w:sectPr w:rsidR="00FB2534" w:rsidSect="00781FFD">
          <w:pgSz w:w="16838" w:h="11906" w:orient="landscape" w:code="9"/>
          <w:pgMar w:top="1800" w:right="1440" w:bottom="1440" w:left="1440" w:header="709" w:footer="709" w:gutter="0"/>
          <w:cols w:space="708"/>
          <w:docGrid w:linePitch="360"/>
        </w:sectPr>
      </w:pPr>
    </w:p>
    <w:p w:rsidR="00FB2534" w:rsidRDefault="00FB2534" w:rsidP="00530478">
      <w:pPr>
        <w:pStyle w:val="GOMnagl2"/>
        <w:ind w:left="720"/>
      </w:pPr>
      <w:bookmarkStart w:id="210" w:name="_Toc422133350"/>
      <w:r>
        <w:t xml:space="preserve">Uzyskany </w:t>
      </w:r>
      <w:r w:rsidRPr="00213977">
        <w:t>efekt ekologiczny</w:t>
      </w:r>
      <w:r>
        <w:t xml:space="preserve"> i jego koszty</w:t>
      </w:r>
      <w:bookmarkEnd w:id="210"/>
    </w:p>
    <w:p w:rsidR="00FB2534" w:rsidRDefault="00FB2534" w:rsidP="00EE1860">
      <w:pPr>
        <w:pStyle w:val="GOMnormal"/>
        <w:rPr>
          <w:rFonts w:cs="Arial"/>
          <w:bCs/>
          <w:color w:val="000000"/>
          <w:sz w:val="18"/>
          <w:szCs w:val="18"/>
        </w:rPr>
      </w:pPr>
      <w:r>
        <w:t xml:space="preserve">W wyniku realizacji działań przedstawionych w harmonogramie na terenie Gminy Malbork zostanie osiągnięty efekt w postaci obniżenia zużycia energii finalnej na poziomie </w:t>
      </w:r>
      <w:r>
        <w:rPr>
          <w:b/>
        </w:rPr>
        <w:t>2201,1</w:t>
      </w:r>
      <w:r w:rsidRPr="008015B5">
        <w:rPr>
          <w:b/>
        </w:rPr>
        <w:t xml:space="preserve"> MWh/rok</w:t>
      </w:r>
      <w:r>
        <w:t xml:space="preserve"> w tym szacuje się udział energii pochodzącej ze źródeł odnawialnych na ok.9 % oraz efekt ekologiczny – w postaci redukcji emisji dwutlenku węgla ekwiwalentnego w wysokości </w:t>
      </w:r>
      <w:r>
        <w:rPr>
          <w:b/>
        </w:rPr>
        <w:t xml:space="preserve">1544,3 </w:t>
      </w:r>
      <w:r w:rsidRPr="00B230E0">
        <w:rPr>
          <w:b/>
        </w:rPr>
        <w:t>Mg</w:t>
      </w:r>
      <w:r w:rsidRPr="008015B5">
        <w:rPr>
          <w:rFonts w:cs="Arial"/>
          <w:b/>
          <w:bCs/>
          <w:color w:val="000000"/>
          <w:sz w:val="18"/>
          <w:szCs w:val="18"/>
        </w:rPr>
        <w:t>CO</w:t>
      </w:r>
      <w:r w:rsidRPr="008015B5">
        <w:rPr>
          <w:rFonts w:cs="Arial"/>
          <w:b/>
          <w:bCs/>
          <w:color w:val="000000"/>
          <w:sz w:val="18"/>
          <w:szCs w:val="18"/>
          <w:vertAlign w:val="subscript"/>
        </w:rPr>
        <w:t>2</w:t>
      </w:r>
      <w:r>
        <w:rPr>
          <w:rFonts w:cs="Arial"/>
          <w:b/>
          <w:bCs/>
          <w:color w:val="000000"/>
          <w:sz w:val="18"/>
          <w:szCs w:val="18"/>
          <w:vertAlign w:val="subscript"/>
        </w:rPr>
        <w:t>eq</w:t>
      </w:r>
      <w:r>
        <w:rPr>
          <w:rFonts w:cs="Arial"/>
          <w:b/>
          <w:bCs/>
          <w:color w:val="000000"/>
          <w:sz w:val="18"/>
          <w:szCs w:val="18"/>
        </w:rPr>
        <w:t>/rok</w:t>
      </w:r>
      <w:r>
        <w:rPr>
          <w:rFonts w:cs="Arial"/>
          <w:bCs/>
          <w:color w:val="000000"/>
          <w:sz w:val="18"/>
          <w:szCs w:val="18"/>
        </w:rPr>
        <w:t>.</w:t>
      </w:r>
    </w:p>
    <w:p w:rsidR="00FB2534" w:rsidRDefault="00FB2534" w:rsidP="00134FC6">
      <w:pPr>
        <w:pStyle w:val="GOMnormal"/>
      </w:pPr>
      <w:r>
        <w:t>Dodatkowo przewidywany jest efekt w postaci redukcji emisji zanieczyszczeń powietrza, którego wielkości dla poszczególnych sektorów przedstawiono w poniższej tabeli nr 12.</w:t>
      </w:r>
    </w:p>
    <w:p w:rsidR="00FB2534" w:rsidRDefault="00FB2534" w:rsidP="00134FC6">
      <w:pPr>
        <w:pStyle w:val="GOMpodpistab"/>
      </w:pPr>
      <w:bookmarkStart w:id="211" w:name="_Toc422135113"/>
      <w:r>
        <w:t xml:space="preserve">Tabela </w:t>
      </w:r>
      <w:r>
        <w:fldChar w:fldCharType="begin"/>
      </w:r>
      <w:r>
        <w:instrText xml:space="preserve"> SEQ Tabela \* ARABIC </w:instrText>
      </w:r>
      <w:r>
        <w:fldChar w:fldCharType="separate"/>
      </w:r>
      <w:r>
        <w:rPr>
          <w:noProof/>
        </w:rPr>
        <w:t>20</w:t>
      </w:r>
      <w:r>
        <w:fldChar w:fldCharType="end"/>
      </w:r>
      <w:r>
        <w:t>. Efekt redukcji emisji zanieczyszczeń powietrza w wyniku realizacji zadań h</w:t>
      </w:r>
      <w:r w:rsidRPr="00FA4479">
        <w:t>armonogram</w:t>
      </w:r>
      <w:r>
        <w:t>u rzeczowo-finansowego</w:t>
      </w:r>
      <w:r w:rsidRPr="00FA4479">
        <w:t xml:space="preserve"> PGN dla </w:t>
      </w:r>
      <w:r>
        <w:t>Gminy Wiejskiej Malbork</w:t>
      </w:r>
      <w:r w:rsidRPr="00FA4479">
        <w:t xml:space="preserve"> na lata 2015-2020 z perspektywą do roku 2030 (źródło: opracowanie własne)</w:t>
      </w:r>
      <w:bookmarkEnd w:id="211"/>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28" w:type="dxa"/>
          <w:left w:w="85" w:type="dxa"/>
          <w:bottom w:w="28" w:type="dxa"/>
          <w:right w:w="85" w:type="dxa"/>
        </w:tblCellMar>
        <w:tblLook w:val="00A0" w:firstRow="1" w:lastRow="0" w:firstColumn="1" w:lastColumn="0" w:noHBand="0" w:noVBand="0"/>
      </w:tblPr>
      <w:tblGrid>
        <w:gridCol w:w="2773"/>
        <w:gridCol w:w="1085"/>
        <w:gridCol w:w="1086"/>
        <w:gridCol w:w="1086"/>
        <w:gridCol w:w="1086"/>
        <w:gridCol w:w="1720"/>
      </w:tblGrid>
      <w:tr w:rsidR="00FB2534" w:rsidRPr="008B42F8" w:rsidTr="00AC1CBB">
        <w:trPr>
          <w:cantSplit/>
          <w:trHeight w:val="227"/>
          <w:jc w:val="center"/>
        </w:trPr>
        <w:tc>
          <w:tcPr>
            <w:tcW w:w="2773" w:type="dxa"/>
            <w:vMerge w:val="restart"/>
            <w:shd w:val="clear" w:color="auto" w:fill="BFBFBF"/>
            <w:vAlign w:val="center"/>
          </w:tcPr>
          <w:p w:rsidR="00FB2534" w:rsidRPr="00AC1CBB" w:rsidRDefault="00FB2534" w:rsidP="00AC1CBB">
            <w:pPr>
              <w:pStyle w:val="GOMnormal"/>
              <w:spacing w:before="0" w:after="0"/>
              <w:rPr>
                <w:b/>
                <w:lang w:eastAsia="en-US"/>
              </w:rPr>
            </w:pPr>
            <w:r w:rsidRPr="00AC1CBB">
              <w:rPr>
                <w:b/>
                <w:lang w:eastAsia="en-US"/>
              </w:rPr>
              <w:t>Rodzaj sektora</w:t>
            </w:r>
          </w:p>
        </w:tc>
        <w:tc>
          <w:tcPr>
            <w:tcW w:w="6063" w:type="dxa"/>
            <w:gridSpan w:val="5"/>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Efekt redukcji emisji [Mg/rok]</w:t>
            </w:r>
          </w:p>
        </w:tc>
      </w:tr>
      <w:tr w:rsidR="00FB2534" w:rsidRPr="008B42F8" w:rsidTr="00AC1CBB">
        <w:trPr>
          <w:cantSplit/>
          <w:trHeight w:val="227"/>
          <w:jc w:val="center"/>
        </w:trPr>
        <w:tc>
          <w:tcPr>
            <w:tcW w:w="2773" w:type="dxa"/>
            <w:vMerge/>
            <w:shd w:val="clear" w:color="auto" w:fill="BFBFBF"/>
            <w:vAlign w:val="center"/>
          </w:tcPr>
          <w:p w:rsidR="00FB2534" w:rsidRPr="00AC1CBB" w:rsidRDefault="00FB2534" w:rsidP="00AC1CBB">
            <w:pPr>
              <w:pStyle w:val="GOMnormal"/>
              <w:spacing w:before="0" w:after="0"/>
              <w:rPr>
                <w:b/>
                <w:lang w:eastAsia="en-US"/>
              </w:rPr>
            </w:pPr>
          </w:p>
        </w:tc>
        <w:tc>
          <w:tcPr>
            <w:tcW w:w="1085" w:type="dxa"/>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PM10</w:t>
            </w:r>
          </w:p>
        </w:tc>
        <w:tc>
          <w:tcPr>
            <w:tcW w:w="1086" w:type="dxa"/>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PM2,5</w:t>
            </w:r>
          </w:p>
        </w:tc>
        <w:tc>
          <w:tcPr>
            <w:tcW w:w="1086" w:type="dxa"/>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SO2</w:t>
            </w:r>
          </w:p>
        </w:tc>
        <w:tc>
          <w:tcPr>
            <w:tcW w:w="1086" w:type="dxa"/>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NO2</w:t>
            </w:r>
          </w:p>
        </w:tc>
        <w:tc>
          <w:tcPr>
            <w:tcW w:w="1720" w:type="dxa"/>
            <w:shd w:val="clear" w:color="auto" w:fill="BFBFBF"/>
            <w:vAlign w:val="center"/>
          </w:tcPr>
          <w:p w:rsidR="00FB2534" w:rsidRPr="00AC1CBB" w:rsidRDefault="00FB2534" w:rsidP="00AC1CBB">
            <w:pPr>
              <w:pStyle w:val="GOMnormal"/>
              <w:spacing w:before="0" w:after="0"/>
              <w:jc w:val="center"/>
              <w:rPr>
                <w:b/>
                <w:lang w:eastAsia="en-US"/>
              </w:rPr>
            </w:pPr>
            <w:r w:rsidRPr="00AC1CBB">
              <w:rPr>
                <w:b/>
                <w:lang w:eastAsia="en-US"/>
              </w:rPr>
              <w:t>B(a)P</w:t>
            </w:r>
          </w:p>
        </w:tc>
      </w:tr>
      <w:tr w:rsidR="00FB2534" w:rsidRPr="008B42F8" w:rsidTr="00AC1CBB">
        <w:trPr>
          <w:cantSplit/>
          <w:trHeight w:val="227"/>
          <w:jc w:val="center"/>
        </w:trPr>
        <w:tc>
          <w:tcPr>
            <w:tcW w:w="2773" w:type="dxa"/>
            <w:vAlign w:val="center"/>
          </w:tcPr>
          <w:p w:rsidR="00FB2534" w:rsidRPr="00AC1CBB" w:rsidRDefault="00FB2534" w:rsidP="00AC1CBB">
            <w:pPr>
              <w:pStyle w:val="GOMnormal"/>
              <w:spacing w:before="0" w:after="0"/>
              <w:rPr>
                <w:bCs/>
                <w:color w:val="000000"/>
                <w:sz w:val="18"/>
                <w:szCs w:val="18"/>
                <w:lang w:eastAsia="en-US"/>
              </w:rPr>
            </w:pPr>
            <w:r w:rsidRPr="00AC1CBB">
              <w:rPr>
                <w:bCs/>
                <w:color w:val="000000"/>
                <w:sz w:val="18"/>
                <w:szCs w:val="18"/>
                <w:lang w:eastAsia="en-US"/>
              </w:rPr>
              <w:t>Sektor energetyki (działania niezależne od JST)</w:t>
            </w:r>
          </w:p>
        </w:tc>
        <w:tc>
          <w:tcPr>
            <w:tcW w:w="1085"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0,123</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0,083</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0,120</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0,128</w:t>
            </w:r>
          </w:p>
        </w:tc>
        <w:tc>
          <w:tcPr>
            <w:tcW w:w="1720"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0,0001440</w:t>
            </w:r>
          </w:p>
        </w:tc>
      </w:tr>
      <w:tr w:rsidR="00FB2534" w:rsidRPr="008B42F8" w:rsidTr="00AC1CBB">
        <w:trPr>
          <w:cantSplit/>
          <w:trHeight w:val="227"/>
          <w:jc w:val="center"/>
        </w:trPr>
        <w:tc>
          <w:tcPr>
            <w:tcW w:w="2773" w:type="dxa"/>
            <w:vAlign w:val="center"/>
          </w:tcPr>
          <w:p w:rsidR="00FB2534" w:rsidRPr="00AC1CBB" w:rsidRDefault="00FB2534" w:rsidP="00AC1CBB">
            <w:pPr>
              <w:pStyle w:val="GOMnormal"/>
              <w:spacing w:before="0" w:after="0"/>
              <w:rPr>
                <w:bCs/>
                <w:color w:val="000000"/>
                <w:sz w:val="18"/>
                <w:szCs w:val="18"/>
                <w:lang w:eastAsia="en-US"/>
              </w:rPr>
            </w:pPr>
            <w:r w:rsidRPr="00AC1CBB">
              <w:rPr>
                <w:bCs/>
                <w:color w:val="000000"/>
                <w:sz w:val="18"/>
                <w:szCs w:val="18"/>
                <w:lang w:eastAsia="en-US"/>
              </w:rPr>
              <w:t>Sektor budownictwa (w tym gospodarstwa domowe, budynki administracji publicznej itp.)</w:t>
            </w:r>
          </w:p>
        </w:tc>
        <w:tc>
          <w:tcPr>
            <w:tcW w:w="1085"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0,576</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0,386</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2,020</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1,536</w:t>
            </w:r>
          </w:p>
        </w:tc>
        <w:tc>
          <w:tcPr>
            <w:tcW w:w="1720"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0,0006721</w:t>
            </w:r>
          </w:p>
        </w:tc>
      </w:tr>
      <w:tr w:rsidR="00FB2534" w:rsidRPr="008B42F8" w:rsidTr="00AC1CBB">
        <w:trPr>
          <w:cantSplit/>
          <w:trHeight w:val="227"/>
          <w:jc w:val="center"/>
        </w:trPr>
        <w:tc>
          <w:tcPr>
            <w:tcW w:w="2773" w:type="dxa"/>
            <w:vAlign w:val="center"/>
          </w:tcPr>
          <w:p w:rsidR="00FB2534" w:rsidRPr="00AC1CBB" w:rsidRDefault="00FB2534" w:rsidP="00AC1CBB">
            <w:pPr>
              <w:pStyle w:val="GOMnormal"/>
              <w:spacing w:before="0" w:after="0"/>
              <w:rPr>
                <w:bCs/>
                <w:color w:val="000000"/>
                <w:sz w:val="18"/>
                <w:szCs w:val="18"/>
                <w:lang w:eastAsia="en-US"/>
              </w:rPr>
            </w:pPr>
            <w:r w:rsidRPr="00AC1CBB">
              <w:rPr>
                <w:bCs/>
                <w:color w:val="000000"/>
                <w:sz w:val="18"/>
                <w:szCs w:val="18"/>
                <w:lang w:eastAsia="en-US"/>
              </w:rPr>
              <w:t>Transport, edukacja ekologiczna, działania inne</w:t>
            </w:r>
          </w:p>
        </w:tc>
        <w:tc>
          <w:tcPr>
            <w:tcW w:w="1085"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0,499</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0,468</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0,181</w:t>
            </w:r>
          </w:p>
        </w:tc>
        <w:tc>
          <w:tcPr>
            <w:tcW w:w="1086"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2,656</w:t>
            </w:r>
          </w:p>
        </w:tc>
        <w:tc>
          <w:tcPr>
            <w:tcW w:w="1720" w:type="dxa"/>
            <w:vAlign w:val="center"/>
          </w:tcPr>
          <w:p w:rsidR="00FB2534" w:rsidRPr="00AC1CBB" w:rsidRDefault="00FB2534" w:rsidP="00AC1CBB">
            <w:pPr>
              <w:jc w:val="right"/>
              <w:rPr>
                <w:rFonts w:ascii="Calibri" w:hAnsi="Calibri" w:cs="Arial"/>
                <w:color w:val="000000"/>
                <w:sz w:val="18"/>
                <w:szCs w:val="18"/>
                <w:lang w:eastAsia="en-US"/>
              </w:rPr>
            </w:pPr>
            <w:r w:rsidRPr="00AC1CBB">
              <w:rPr>
                <w:rFonts w:ascii="Calibri" w:hAnsi="Calibri" w:cs="Arial"/>
                <w:color w:val="000000"/>
                <w:sz w:val="18"/>
                <w:szCs w:val="18"/>
                <w:lang w:eastAsia="en-US"/>
              </w:rPr>
              <w:t>0,0000010</w:t>
            </w:r>
          </w:p>
        </w:tc>
      </w:tr>
      <w:tr w:rsidR="00FB2534" w:rsidTr="00AC1CBB">
        <w:trPr>
          <w:cantSplit/>
          <w:trHeight w:val="227"/>
          <w:jc w:val="center"/>
        </w:trPr>
        <w:tc>
          <w:tcPr>
            <w:tcW w:w="2773" w:type="dxa"/>
            <w:vAlign w:val="center"/>
          </w:tcPr>
          <w:p w:rsidR="00FB2534" w:rsidRPr="00AC1CBB" w:rsidRDefault="00FB2534" w:rsidP="00AC1CBB">
            <w:pPr>
              <w:pStyle w:val="GOMnormal"/>
              <w:spacing w:before="0" w:after="0"/>
              <w:rPr>
                <w:bCs/>
                <w:color w:val="000000"/>
                <w:sz w:val="18"/>
                <w:szCs w:val="18"/>
                <w:lang w:eastAsia="en-US"/>
              </w:rPr>
            </w:pPr>
            <w:r w:rsidRPr="00AC1CBB">
              <w:rPr>
                <w:bCs/>
                <w:color w:val="000000"/>
                <w:sz w:val="18"/>
                <w:szCs w:val="18"/>
                <w:lang w:eastAsia="en-US"/>
              </w:rPr>
              <w:t>RAZEM</w:t>
            </w:r>
          </w:p>
        </w:tc>
        <w:tc>
          <w:tcPr>
            <w:tcW w:w="1085" w:type="dxa"/>
            <w:vAlign w:val="center"/>
          </w:tcPr>
          <w:p w:rsidR="00FB2534" w:rsidRPr="00AC1CBB" w:rsidRDefault="00FB2534" w:rsidP="00AC1CBB">
            <w:pPr>
              <w:jc w:val="right"/>
              <w:rPr>
                <w:rFonts w:ascii="Calibri" w:hAnsi="Calibri" w:cs="Arial"/>
                <w:b/>
                <w:bCs/>
                <w:color w:val="000000"/>
                <w:sz w:val="18"/>
                <w:szCs w:val="18"/>
                <w:lang w:eastAsia="en-US"/>
              </w:rPr>
            </w:pPr>
            <w:r w:rsidRPr="00AC1CBB">
              <w:rPr>
                <w:rFonts w:ascii="Calibri" w:hAnsi="Calibri" w:cs="Arial"/>
                <w:b/>
                <w:bCs/>
                <w:color w:val="000000"/>
                <w:sz w:val="18"/>
                <w:szCs w:val="18"/>
                <w:lang w:eastAsia="en-US"/>
              </w:rPr>
              <w:t>1,38</w:t>
            </w:r>
          </w:p>
        </w:tc>
        <w:tc>
          <w:tcPr>
            <w:tcW w:w="1086" w:type="dxa"/>
            <w:vAlign w:val="center"/>
          </w:tcPr>
          <w:p w:rsidR="00FB2534" w:rsidRPr="00AC1CBB" w:rsidRDefault="00FB2534" w:rsidP="00AC1CBB">
            <w:pPr>
              <w:jc w:val="right"/>
              <w:rPr>
                <w:rFonts w:ascii="Calibri" w:hAnsi="Calibri" w:cs="Arial"/>
                <w:b/>
                <w:bCs/>
                <w:color w:val="000000"/>
                <w:sz w:val="18"/>
                <w:szCs w:val="18"/>
                <w:lang w:eastAsia="en-US"/>
              </w:rPr>
            </w:pPr>
            <w:r w:rsidRPr="00AC1CBB">
              <w:rPr>
                <w:rFonts w:ascii="Calibri" w:hAnsi="Calibri" w:cs="Arial"/>
                <w:b/>
                <w:bCs/>
                <w:color w:val="000000"/>
                <w:sz w:val="18"/>
                <w:szCs w:val="18"/>
                <w:lang w:eastAsia="en-US"/>
              </w:rPr>
              <w:t>1,11</w:t>
            </w:r>
          </w:p>
        </w:tc>
        <w:tc>
          <w:tcPr>
            <w:tcW w:w="1086" w:type="dxa"/>
            <w:vAlign w:val="center"/>
          </w:tcPr>
          <w:p w:rsidR="00FB2534" w:rsidRPr="00AC1CBB" w:rsidRDefault="00FB2534" w:rsidP="00AC1CBB">
            <w:pPr>
              <w:jc w:val="right"/>
              <w:rPr>
                <w:rFonts w:ascii="Calibri" w:hAnsi="Calibri" w:cs="Arial"/>
                <w:b/>
                <w:bCs/>
                <w:color w:val="000000"/>
                <w:sz w:val="18"/>
                <w:szCs w:val="18"/>
                <w:lang w:eastAsia="en-US"/>
              </w:rPr>
            </w:pPr>
            <w:r w:rsidRPr="00AC1CBB">
              <w:rPr>
                <w:rFonts w:ascii="Calibri" w:hAnsi="Calibri" w:cs="Arial"/>
                <w:b/>
                <w:bCs/>
                <w:color w:val="000000"/>
                <w:sz w:val="18"/>
                <w:szCs w:val="18"/>
                <w:lang w:eastAsia="en-US"/>
              </w:rPr>
              <w:t>2,39</w:t>
            </w:r>
          </w:p>
        </w:tc>
        <w:tc>
          <w:tcPr>
            <w:tcW w:w="1086" w:type="dxa"/>
            <w:vAlign w:val="center"/>
          </w:tcPr>
          <w:p w:rsidR="00FB2534" w:rsidRPr="00AC1CBB" w:rsidRDefault="00FB2534" w:rsidP="00AC1CBB">
            <w:pPr>
              <w:jc w:val="right"/>
              <w:rPr>
                <w:rFonts w:ascii="Calibri" w:hAnsi="Calibri" w:cs="Arial"/>
                <w:b/>
                <w:bCs/>
                <w:color w:val="000000"/>
                <w:sz w:val="18"/>
                <w:szCs w:val="18"/>
                <w:lang w:eastAsia="en-US"/>
              </w:rPr>
            </w:pPr>
            <w:r w:rsidRPr="00AC1CBB">
              <w:rPr>
                <w:rFonts w:ascii="Calibri" w:hAnsi="Calibri" w:cs="Arial"/>
                <w:b/>
                <w:bCs/>
                <w:color w:val="000000"/>
                <w:sz w:val="18"/>
                <w:szCs w:val="18"/>
                <w:lang w:eastAsia="en-US"/>
              </w:rPr>
              <w:t>5,29</w:t>
            </w:r>
          </w:p>
        </w:tc>
        <w:tc>
          <w:tcPr>
            <w:tcW w:w="1720" w:type="dxa"/>
            <w:vAlign w:val="center"/>
          </w:tcPr>
          <w:p w:rsidR="00FB2534" w:rsidRPr="00AC1CBB" w:rsidRDefault="00FB2534" w:rsidP="00AC1CBB">
            <w:pPr>
              <w:jc w:val="right"/>
              <w:rPr>
                <w:rFonts w:ascii="Calibri" w:hAnsi="Calibri" w:cs="Arial"/>
                <w:b/>
                <w:bCs/>
                <w:color w:val="000000"/>
                <w:sz w:val="18"/>
                <w:szCs w:val="18"/>
                <w:lang w:eastAsia="en-US"/>
              </w:rPr>
            </w:pPr>
            <w:r w:rsidRPr="00AC1CBB">
              <w:rPr>
                <w:rFonts w:ascii="Calibri" w:hAnsi="Calibri" w:cs="Arial"/>
                <w:b/>
                <w:bCs/>
                <w:color w:val="000000"/>
                <w:sz w:val="18"/>
                <w:szCs w:val="18"/>
                <w:lang w:eastAsia="en-US"/>
              </w:rPr>
              <w:t>0,000817</w:t>
            </w:r>
          </w:p>
        </w:tc>
      </w:tr>
    </w:tbl>
    <w:p w:rsidR="00FB2534" w:rsidRDefault="00FB2534" w:rsidP="00EE1860">
      <w:pPr>
        <w:pStyle w:val="GOMnormal"/>
      </w:pPr>
      <w:r>
        <w:t xml:space="preserve">Całkowite koszty realizacji działań wyniosą </w:t>
      </w:r>
      <w:r>
        <w:rPr>
          <w:b/>
        </w:rPr>
        <w:t>10172,5</w:t>
      </w:r>
      <w:r w:rsidRPr="008015B5">
        <w:rPr>
          <w:b/>
        </w:rPr>
        <w:t xml:space="preserve"> tys. zł</w:t>
      </w:r>
      <w:r>
        <w:t>.</w:t>
      </w:r>
    </w:p>
    <w:p w:rsidR="00FB2534" w:rsidRDefault="00FB2534" w:rsidP="00EE1860">
      <w:pPr>
        <w:pStyle w:val="GOMnagl2"/>
        <w:ind w:left="720"/>
      </w:pPr>
      <w:bookmarkStart w:id="212" w:name="_Toc412201403"/>
      <w:bookmarkStart w:id="213" w:name="_Toc416348895"/>
      <w:bookmarkStart w:id="214" w:name="_Toc422133351"/>
      <w:r>
        <w:t>Źródła finansowania</w:t>
      </w:r>
      <w:bookmarkEnd w:id="212"/>
      <w:bookmarkEnd w:id="213"/>
      <w:bookmarkEnd w:id="214"/>
    </w:p>
    <w:p w:rsidR="00FB2534" w:rsidRDefault="00FB2534" w:rsidP="00EE1860">
      <w:pPr>
        <w:pStyle w:val="GOMnormal"/>
      </w:pPr>
      <w:r>
        <w:rPr>
          <w:lang w:eastAsia="ar-SA"/>
        </w:rPr>
        <w:t>Opis możliwych źródeł finansowania</w:t>
      </w:r>
      <w:r w:rsidRPr="00E929C1">
        <w:rPr>
          <w:lang w:eastAsia="ar-SA"/>
        </w:rPr>
        <w:t xml:space="preserve"> </w:t>
      </w:r>
      <w:r>
        <w:rPr>
          <w:lang w:eastAsia="ar-SA"/>
        </w:rPr>
        <w:t>znajduje się w rozdziale 9.5 „Planu gospodarki niskoemisyjnej dla Gdańskiego Obszaru Metropolitalnego”.</w:t>
      </w:r>
    </w:p>
    <w:p w:rsidR="00FB2534" w:rsidRDefault="00FB2534" w:rsidP="00A51C15">
      <w:pPr>
        <w:pStyle w:val="GOMnagl1"/>
        <w:spacing w:before="240"/>
        <w:ind w:left="357" w:hanging="357"/>
      </w:pPr>
      <w:bookmarkStart w:id="215" w:name="_Toc416348896"/>
      <w:bookmarkStart w:id="216" w:name="_Toc422133352"/>
      <w:r>
        <w:t>Aspekty organizacyjne</w:t>
      </w:r>
      <w:bookmarkEnd w:id="215"/>
      <w:bookmarkEnd w:id="216"/>
    </w:p>
    <w:p w:rsidR="00FB2534" w:rsidRDefault="00FB2534" w:rsidP="00EE1860">
      <w:pPr>
        <w:pStyle w:val="GOMnormal"/>
      </w:pPr>
      <w:r>
        <w:rPr>
          <w:lang w:eastAsia="ar-SA"/>
        </w:rPr>
        <w:t>Aspekty organizacyjne związane z realizacją PGN na terenie Gdańskiego Obszaru Metropolitalnego omówiono w rozdziale 10 „Planu gospodarki niskoemisyjnej dla Gdańskiego Obszaru Metropolitalnego”.</w:t>
      </w:r>
    </w:p>
    <w:p w:rsidR="00FB2534" w:rsidRDefault="00FB2534" w:rsidP="00A51C15">
      <w:pPr>
        <w:pStyle w:val="GOMnagl1"/>
        <w:spacing w:before="240"/>
        <w:ind w:left="357" w:hanging="357"/>
      </w:pPr>
      <w:bookmarkStart w:id="217" w:name="_Toc412201405"/>
      <w:bookmarkStart w:id="218" w:name="_Toc416348897"/>
      <w:bookmarkStart w:id="219" w:name="_Toc422133353"/>
      <w:r>
        <w:t>System realizacji PGN</w:t>
      </w:r>
      <w:bookmarkEnd w:id="217"/>
      <w:bookmarkEnd w:id="218"/>
      <w:bookmarkEnd w:id="219"/>
    </w:p>
    <w:p w:rsidR="00FB2534" w:rsidRDefault="00FB2534" w:rsidP="00EE1860">
      <w:pPr>
        <w:pStyle w:val="GOMnagl2"/>
        <w:ind w:left="720"/>
      </w:pPr>
      <w:bookmarkStart w:id="220" w:name="_Toc412201406"/>
      <w:bookmarkStart w:id="221" w:name="_Toc416348898"/>
      <w:bookmarkStart w:id="222" w:name="_Toc422133354"/>
      <w:r>
        <w:t>Proponowane wskaźniki monitorowania i ewaluacji realizacji PGN</w:t>
      </w:r>
      <w:bookmarkEnd w:id="220"/>
      <w:bookmarkEnd w:id="221"/>
      <w:bookmarkEnd w:id="222"/>
    </w:p>
    <w:p w:rsidR="00FB2534" w:rsidRDefault="00FB2534" w:rsidP="00EE1860">
      <w:pPr>
        <w:pStyle w:val="GOMnormal"/>
      </w:pPr>
      <w:r w:rsidRPr="004657F2">
        <w:rPr>
          <w:lang w:eastAsia="ar-SA"/>
        </w:rPr>
        <w:t>Do każdego działania harmonogramu został przypisany miernik monitorowania realizacji działania. Propozycje dodatkowych wskaźników monitorowania i ewaluacji realizacji PGN znajdują się w rozdziale 11.1 „Planu gospodarki niskoemisyjnej dla Gdańskiego Obszaru Metropolitalnego”.</w:t>
      </w:r>
    </w:p>
    <w:p w:rsidR="00FB2534" w:rsidRDefault="00FB2534" w:rsidP="00EE1860">
      <w:pPr>
        <w:pStyle w:val="GOMnagl2"/>
        <w:ind w:left="720"/>
      </w:pPr>
      <w:bookmarkStart w:id="223" w:name="_Toc412201407"/>
      <w:bookmarkStart w:id="224" w:name="_Toc416348899"/>
      <w:bookmarkStart w:id="225" w:name="_Toc422133355"/>
      <w:r>
        <w:t>Sposób monitorowania i raportowania efektów realizacji Planu</w:t>
      </w:r>
      <w:bookmarkEnd w:id="223"/>
      <w:bookmarkEnd w:id="224"/>
      <w:bookmarkEnd w:id="225"/>
      <w:r>
        <w:t xml:space="preserve"> </w:t>
      </w:r>
    </w:p>
    <w:p w:rsidR="00FB2534" w:rsidRPr="006A49C0" w:rsidRDefault="00FB2534" w:rsidP="00EE1860">
      <w:pPr>
        <w:pStyle w:val="GOMnormal"/>
      </w:pPr>
      <w:r>
        <w:rPr>
          <w:lang w:eastAsia="ar-SA"/>
        </w:rPr>
        <w:t>Opis sposobu monitorowania i raportowania efektów realizacji PGN</w:t>
      </w:r>
      <w:r w:rsidRPr="00E929C1">
        <w:rPr>
          <w:lang w:eastAsia="ar-SA"/>
        </w:rPr>
        <w:t xml:space="preserve"> </w:t>
      </w:r>
      <w:r>
        <w:rPr>
          <w:lang w:eastAsia="ar-SA"/>
        </w:rPr>
        <w:t>znajduje się w rozdziale 11.2 „Planu gospodarki niskoemisyjnej dla Gdańskiego Obszaru Metropolitalnego”.</w:t>
      </w:r>
    </w:p>
    <w:p w:rsidR="00FB2534" w:rsidRPr="006A49C0" w:rsidRDefault="00FB2534" w:rsidP="00A51C15">
      <w:pPr>
        <w:pStyle w:val="GOMnagl1"/>
        <w:spacing w:before="240"/>
        <w:ind w:left="357" w:hanging="357"/>
      </w:pPr>
      <w:bookmarkStart w:id="226" w:name="_Toc412201409"/>
      <w:bookmarkStart w:id="227" w:name="_Toc416348900"/>
      <w:bookmarkStart w:id="228" w:name="_Toc422133356"/>
      <w:r w:rsidRPr="006A49C0">
        <w:t>Literatura</w:t>
      </w:r>
      <w:bookmarkEnd w:id="226"/>
      <w:bookmarkEnd w:id="227"/>
      <w:bookmarkEnd w:id="228"/>
    </w:p>
    <w:p w:rsidR="00FB2534" w:rsidRPr="00EE1860" w:rsidRDefault="00FB2534" w:rsidP="00EA5986">
      <w:pPr>
        <w:pStyle w:val="GOMnormal"/>
      </w:pPr>
      <w:r w:rsidRPr="00EE1860">
        <w:rPr>
          <w:lang w:eastAsia="ar-SA"/>
        </w:rPr>
        <w:t>Wykaz wykorzystanych w toku przygotowania Planu dokumentów znajduje się w rozdziale 13 „Planu gospodarki niskoemisyjnej dla Gdańskiego Obszaru Metropolitalnego. Poniżej uzupełniono go</w:t>
      </w:r>
      <w:r>
        <w:rPr>
          <w:lang w:eastAsia="ar-SA"/>
        </w:rPr>
        <w:t> </w:t>
      </w:r>
      <w:r w:rsidRPr="00EE1860">
        <w:rPr>
          <w:lang w:eastAsia="ar-SA"/>
        </w:rPr>
        <w:t>do</w:t>
      </w:r>
      <w:r>
        <w:rPr>
          <w:lang w:eastAsia="ar-SA"/>
        </w:rPr>
        <w:t> </w:t>
      </w:r>
      <w:r w:rsidRPr="00EE1860">
        <w:rPr>
          <w:lang w:eastAsia="ar-SA"/>
        </w:rPr>
        <w:t>dokumenty specyficzne dla gminy:</w:t>
      </w:r>
    </w:p>
    <w:p w:rsidR="00FB2534" w:rsidRPr="00C3368B" w:rsidRDefault="00FB2534" w:rsidP="003D7FB8">
      <w:pPr>
        <w:pStyle w:val="GOMnormal"/>
        <w:numPr>
          <w:ilvl w:val="0"/>
          <w:numId w:val="29"/>
        </w:numPr>
        <w:rPr>
          <w:lang w:eastAsia="en-US"/>
        </w:rPr>
      </w:pPr>
      <w:r w:rsidRPr="00C3368B">
        <w:rPr>
          <w:lang w:eastAsia="en-US"/>
        </w:rPr>
        <w:t>Strategia Rozwoju Gminy Malbork do 2020 r.</w:t>
      </w:r>
      <w:r>
        <w:rPr>
          <w:lang w:eastAsia="en-US"/>
        </w:rPr>
        <w:t xml:space="preserve"> </w:t>
      </w:r>
      <w:r w:rsidRPr="00C3368B">
        <w:rPr>
          <w:lang w:eastAsia="en-US"/>
        </w:rPr>
        <w:t>(</w:t>
      </w:r>
      <w:r>
        <w:rPr>
          <w:lang w:eastAsia="en-US"/>
        </w:rPr>
        <w:t>U</w:t>
      </w:r>
      <w:r w:rsidRPr="00C3368B">
        <w:rPr>
          <w:lang w:eastAsia="en-US"/>
        </w:rPr>
        <w:t xml:space="preserve">chwała Rady Gminy nr </w:t>
      </w:r>
      <w:r w:rsidRPr="00C3368B">
        <w:t xml:space="preserve"> XXXIX/364/2014 z dnia 28.08.2014 r.)</w:t>
      </w:r>
    </w:p>
    <w:p w:rsidR="00FB2534" w:rsidRPr="00C3368B" w:rsidRDefault="00FB2534" w:rsidP="003D7FB8">
      <w:pPr>
        <w:pStyle w:val="GOMnormal"/>
        <w:numPr>
          <w:ilvl w:val="0"/>
          <w:numId w:val="29"/>
        </w:numPr>
        <w:rPr>
          <w:lang w:eastAsia="en-US"/>
        </w:rPr>
      </w:pPr>
      <w:r w:rsidRPr="00C3368B">
        <w:rPr>
          <w:lang w:eastAsia="en-US"/>
        </w:rPr>
        <w:t xml:space="preserve">Program Ochrony Środowiska wraz z Planem Gospodarki Odpadami dla gminy Malbork do roku 2011 z perspektywą na lata 2012-2015 </w:t>
      </w:r>
      <w:r>
        <w:rPr>
          <w:lang w:eastAsia="en-US"/>
        </w:rPr>
        <w:t>(Uchwała N</w:t>
      </w:r>
      <w:r w:rsidRPr="00C3368B">
        <w:rPr>
          <w:lang w:eastAsia="en-US"/>
        </w:rPr>
        <w:t>r VIII/71/2011 z dn. 22.06.2011 r., zmieniona uchwałą nr IX/78/2011 z dn. 29.08.2011 r.)</w:t>
      </w:r>
    </w:p>
    <w:p w:rsidR="00FB2534" w:rsidRPr="00C3368B" w:rsidRDefault="00FB2534" w:rsidP="003D7FB8">
      <w:pPr>
        <w:pStyle w:val="GOMnormal"/>
        <w:numPr>
          <w:ilvl w:val="0"/>
          <w:numId w:val="29"/>
        </w:numPr>
        <w:rPr>
          <w:lang w:eastAsia="en-US"/>
        </w:rPr>
      </w:pPr>
      <w:r>
        <w:rPr>
          <w:lang w:eastAsia="en-US"/>
        </w:rPr>
        <w:t>Studium Uwarunkowań i Kierunków Zagospodarowania Przestrzennego gminy Malbork (Uchwała N</w:t>
      </w:r>
      <w:r w:rsidRPr="00C3368B">
        <w:rPr>
          <w:lang w:eastAsia="en-US"/>
        </w:rPr>
        <w:t xml:space="preserve">r XXXIII/309/2013 Rady Gminy Malbork z dnia 30 grudnia 2013 r.) </w:t>
      </w:r>
    </w:p>
    <w:p w:rsidR="00FB2534" w:rsidRPr="00E51059" w:rsidRDefault="00FB2534" w:rsidP="003D7FB8">
      <w:pPr>
        <w:pStyle w:val="GOMnormal"/>
        <w:numPr>
          <w:ilvl w:val="0"/>
          <w:numId w:val="29"/>
        </w:numPr>
        <w:rPr>
          <w:lang w:eastAsia="en-US"/>
        </w:rPr>
      </w:pPr>
      <w:r w:rsidRPr="00E51059">
        <w:rPr>
          <w:lang w:eastAsia="en-US"/>
        </w:rPr>
        <w:t>Projekt założeń do planu zaopatrzenia w ciepło energ</w:t>
      </w:r>
      <w:r>
        <w:rPr>
          <w:lang w:eastAsia="en-US"/>
        </w:rPr>
        <w:t>ię elektryczną i paliwa gazowe</w:t>
      </w:r>
    </w:p>
    <w:p w:rsidR="00FB2534" w:rsidRDefault="00FB2534" w:rsidP="003D7FB8">
      <w:pPr>
        <w:pStyle w:val="GOMnormal"/>
        <w:numPr>
          <w:ilvl w:val="0"/>
          <w:numId w:val="29"/>
        </w:numPr>
        <w:rPr>
          <w:lang w:eastAsia="en-US"/>
        </w:rPr>
      </w:pPr>
      <w:r>
        <w:rPr>
          <w:lang w:eastAsia="en-US"/>
        </w:rPr>
        <w:t>Budżet Gminy Malbork (Uchwała N</w:t>
      </w:r>
      <w:r w:rsidRPr="00C3368B">
        <w:rPr>
          <w:lang w:eastAsia="en-US"/>
        </w:rPr>
        <w:t>r III/11/2014 Rady Gminy Malbork z dnia 30 grudnia</w:t>
      </w:r>
      <w:r w:rsidRPr="00AB223E">
        <w:rPr>
          <w:lang w:eastAsia="en-US"/>
        </w:rPr>
        <w:t xml:space="preserve"> 2014 r.) </w:t>
      </w:r>
    </w:p>
    <w:p w:rsidR="00FB2534" w:rsidRDefault="00FB2534">
      <w:pPr>
        <w:rPr>
          <w:rFonts w:ascii="Calibri" w:hAnsi="Calibri"/>
          <w:sz w:val="20"/>
          <w:szCs w:val="20"/>
          <w:lang w:eastAsia="en-US"/>
        </w:rPr>
      </w:pPr>
      <w:r>
        <w:rPr>
          <w:lang w:eastAsia="en-US"/>
        </w:rPr>
        <w:br w:type="page"/>
      </w:r>
    </w:p>
    <w:p w:rsidR="00FB2534" w:rsidRDefault="00FB2534" w:rsidP="00BA4F1C">
      <w:pPr>
        <w:pStyle w:val="GOMnagl2"/>
        <w:numPr>
          <w:ilvl w:val="0"/>
          <w:numId w:val="0"/>
        </w:numPr>
        <w:ind w:left="720" w:hanging="720"/>
      </w:pPr>
      <w:bookmarkStart w:id="229" w:name="_Toc422133357"/>
      <w:r>
        <w:t>Załącznik</w:t>
      </w:r>
      <w:bookmarkEnd w:id="229"/>
    </w:p>
    <w:p w:rsidR="00FB2534" w:rsidRDefault="00FB2534" w:rsidP="00BA4F1C">
      <w:pPr>
        <w:pStyle w:val="GOMnormal"/>
      </w:pPr>
      <w:r>
        <w:t>W załączniku zestawiono dane przekazane przez Urząd Gminy w trakcie ankietyzacji, która miała na celu zebranie danych szczegółowych w poszczególnych sektorach.</w:t>
      </w:r>
    </w:p>
    <w:p w:rsidR="00FB2534" w:rsidRDefault="00FB2534" w:rsidP="00953469">
      <w:pPr>
        <w:pStyle w:val="Caption"/>
        <w:keepNext/>
      </w:pPr>
      <w:bookmarkStart w:id="230" w:name="_Toc422135114"/>
      <w:r>
        <w:t xml:space="preserve">Tabela </w:t>
      </w:r>
      <w:r>
        <w:fldChar w:fldCharType="begin"/>
      </w:r>
      <w:r>
        <w:instrText xml:space="preserve"> SEQ Tabela \* ARABIC </w:instrText>
      </w:r>
      <w:r>
        <w:fldChar w:fldCharType="separate"/>
      </w:r>
      <w:r>
        <w:rPr>
          <w:noProof/>
        </w:rPr>
        <w:t>21</w:t>
      </w:r>
      <w:r>
        <w:fldChar w:fldCharType="end"/>
      </w:r>
      <w:r>
        <w:t xml:space="preserve">. </w:t>
      </w:r>
      <w:r w:rsidRPr="009F3698">
        <w:t xml:space="preserve">Dane </w:t>
      </w:r>
      <w:r>
        <w:t>przekazane przez Gminę Malbork</w:t>
      </w:r>
      <w:r w:rsidRPr="009F3698">
        <w:t xml:space="preserve"> w ramach ankiety dotyczącej gminnych środków transportu</w:t>
      </w:r>
      <w:bookmarkEnd w:id="230"/>
    </w:p>
    <w:tbl>
      <w:tblPr>
        <w:tblW w:w="5191"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A0" w:firstRow="1" w:lastRow="0" w:firstColumn="1" w:lastColumn="0" w:noHBand="0" w:noVBand="0"/>
      </w:tblPr>
      <w:tblGrid>
        <w:gridCol w:w="3758"/>
        <w:gridCol w:w="1274"/>
        <w:gridCol w:w="806"/>
        <w:gridCol w:w="868"/>
        <w:gridCol w:w="772"/>
        <w:gridCol w:w="925"/>
        <w:gridCol w:w="739"/>
      </w:tblGrid>
      <w:tr w:rsidR="00FB2534" w:rsidTr="00BA4F1C">
        <w:trPr>
          <w:trHeight w:val="255"/>
        </w:trPr>
        <w:tc>
          <w:tcPr>
            <w:tcW w:w="2055" w:type="pct"/>
            <w:vMerge w:val="restart"/>
            <w:shd w:val="clear" w:color="000000" w:fill="A6A6A6"/>
            <w:noWrap/>
            <w:vAlign w:val="center"/>
          </w:tcPr>
          <w:p w:rsidR="00FB2534" w:rsidRDefault="00FB2534">
            <w:pPr>
              <w:rPr>
                <w:rFonts w:ascii="Calibri" w:hAnsi="Calibri"/>
                <w:b/>
                <w:bCs/>
                <w:color w:val="000000"/>
                <w:sz w:val="18"/>
                <w:szCs w:val="18"/>
              </w:rPr>
            </w:pPr>
            <w:r>
              <w:rPr>
                <w:rFonts w:ascii="Calibri" w:hAnsi="Calibri"/>
                <w:b/>
                <w:bCs/>
                <w:color w:val="000000"/>
                <w:sz w:val="18"/>
                <w:szCs w:val="18"/>
              </w:rPr>
              <w:t> </w:t>
            </w:r>
          </w:p>
          <w:p w:rsidR="00FB2534" w:rsidRDefault="00FB2534">
            <w:pPr>
              <w:jc w:val="center"/>
              <w:rPr>
                <w:rFonts w:ascii="Calibri" w:hAnsi="Calibri"/>
                <w:b/>
                <w:bCs/>
                <w:sz w:val="18"/>
                <w:szCs w:val="18"/>
              </w:rPr>
            </w:pPr>
            <w:r>
              <w:rPr>
                <w:rFonts w:ascii="Calibri" w:hAnsi="Calibri"/>
                <w:b/>
                <w:bCs/>
                <w:sz w:val="18"/>
                <w:szCs w:val="18"/>
              </w:rPr>
              <w:t>Nazwa jednostki administracyjnej, spółki, wydziału, itp.</w:t>
            </w:r>
          </w:p>
          <w:p w:rsidR="00FB2534" w:rsidRDefault="00FB2534" w:rsidP="001D6A64">
            <w:pPr>
              <w:jc w:val="center"/>
              <w:rPr>
                <w:rFonts w:ascii="Calibri" w:hAnsi="Calibri"/>
                <w:b/>
                <w:bCs/>
                <w:color w:val="000000"/>
                <w:sz w:val="18"/>
                <w:szCs w:val="18"/>
              </w:rPr>
            </w:pPr>
            <w:r>
              <w:rPr>
                <w:rFonts w:ascii="Calibri" w:hAnsi="Calibri"/>
                <w:b/>
                <w:bCs/>
                <w:sz w:val="18"/>
                <w:szCs w:val="18"/>
              </w:rPr>
              <w:t> </w:t>
            </w:r>
          </w:p>
        </w:tc>
        <w:tc>
          <w:tcPr>
            <w:tcW w:w="697" w:type="pct"/>
            <w:vMerge w:val="restar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Rodzaj floty</w:t>
            </w:r>
          </w:p>
        </w:tc>
        <w:tc>
          <w:tcPr>
            <w:tcW w:w="441" w:type="pct"/>
            <w:vMerge w:val="restar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Norma Euro</w:t>
            </w:r>
          </w:p>
        </w:tc>
        <w:tc>
          <w:tcPr>
            <w:tcW w:w="475" w:type="pct"/>
            <w:vMerge w:val="restar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ilość pojazdów</w:t>
            </w:r>
          </w:p>
        </w:tc>
        <w:tc>
          <w:tcPr>
            <w:tcW w:w="1332" w:type="pct"/>
            <w:gridSpan w:val="3"/>
            <w:shd w:val="clear" w:color="000000" w:fill="A6A6A6"/>
            <w:vAlign w:val="center"/>
          </w:tcPr>
          <w:p w:rsidR="00FB2534" w:rsidRDefault="00FB2534">
            <w:pPr>
              <w:jc w:val="center"/>
              <w:rPr>
                <w:rFonts w:ascii="Calibri" w:hAnsi="Calibri"/>
                <w:b/>
                <w:bCs/>
                <w:color w:val="000000"/>
                <w:sz w:val="18"/>
                <w:szCs w:val="18"/>
              </w:rPr>
            </w:pPr>
            <w:r>
              <w:rPr>
                <w:rFonts w:ascii="Calibri" w:hAnsi="Calibri"/>
                <w:b/>
                <w:bCs/>
                <w:color w:val="000000"/>
                <w:sz w:val="18"/>
                <w:szCs w:val="18"/>
              </w:rPr>
              <w:t>Zużycie paliw</w:t>
            </w:r>
          </w:p>
        </w:tc>
      </w:tr>
      <w:tr w:rsidR="00FB2534" w:rsidTr="00BA4F1C">
        <w:trPr>
          <w:trHeight w:val="480"/>
        </w:trPr>
        <w:tc>
          <w:tcPr>
            <w:tcW w:w="2055" w:type="pct"/>
            <w:vMerge/>
            <w:shd w:val="clear" w:color="000000" w:fill="A6A6A6"/>
            <w:vAlign w:val="center"/>
          </w:tcPr>
          <w:p w:rsidR="00FB2534" w:rsidRDefault="00FB2534" w:rsidP="001D6A64">
            <w:pPr>
              <w:jc w:val="center"/>
              <w:rPr>
                <w:rFonts w:ascii="Calibri" w:hAnsi="Calibri"/>
                <w:b/>
                <w:bCs/>
                <w:sz w:val="18"/>
                <w:szCs w:val="18"/>
              </w:rPr>
            </w:pPr>
          </w:p>
        </w:tc>
        <w:tc>
          <w:tcPr>
            <w:tcW w:w="697" w:type="pct"/>
            <w:vMerge/>
            <w:vAlign w:val="center"/>
          </w:tcPr>
          <w:p w:rsidR="00FB2534" w:rsidRDefault="00FB2534">
            <w:pPr>
              <w:rPr>
                <w:rFonts w:ascii="Calibri" w:hAnsi="Calibri"/>
                <w:b/>
                <w:bCs/>
                <w:sz w:val="18"/>
                <w:szCs w:val="18"/>
              </w:rPr>
            </w:pPr>
          </w:p>
        </w:tc>
        <w:tc>
          <w:tcPr>
            <w:tcW w:w="441" w:type="pct"/>
            <w:vMerge/>
            <w:vAlign w:val="center"/>
          </w:tcPr>
          <w:p w:rsidR="00FB2534" w:rsidRDefault="00FB2534">
            <w:pPr>
              <w:rPr>
                <w:rFonts w:ascii="Calibri" w:hAnsi="Calibri"/>
                <w:b/>
                <w:bCs/>
                <w:sz w:val="18"/>
                <w:szCs w:val="18"/>
              </w:rPr>
            </w:pPr>
          </w:p>
        </w:tc>
        <w:tc>
          <w:tcPr>
            <w:tcW w:w="475" w:type="pct"/>
            <w:vMerge/>
            <w:vAlign w:val="center"/>
          </w:tcPr>
          <w:p w:rsidR="00FB2534" w:rsidRDefault="00FB2534">
            <w:pPr>
              <w:rPr>
                <w:rFonts w:ascii="Calibri" w:hAnsi="Calibri"/>
                <w:b/>
                <w:bCs/>
                <w:sz w:val="18"/>
                <w:szCs w:val="18"/>
              </w:rPr>
            </w:pPr>
          </w:p>
        </w:tc>
        <w:tc>
          <w:tcPr>
            <w:tcW w:w="422" w:type="pct"/>
            <w:shd w:val="clear" w:color="000000" w:fill="A6A6A6"/>
            <w:vAlign w:val="center"/>
          </w:tcPr>
          <w:p w:rsidR="00FB2534" w:rsidRDefault="00FB2534">
            <w:pPr>
              <w:jc w:val="center"/>
              <w:rPr>
                <w:rFonts w:ascii="Calibri" w:hAnsi="Calibri"/>
                <w:b/>
                <w:bCs/>
                <w:color w:val="000000"/>
                <w:sz w:val="18"/>
                <w:szCs w:val="18"/>
              </w:rPr>
            </w:pPr>
            <w:r>
              <w:rPr>
                <w:rFonts w:ascii="Calibri" w:hAnsi="Calibri"/>
                <w:b/>
                <w:bCs/>
                <w:color w:val="000000"/>
                <w:sz w:val="18"/>
                <w:szCs w:val="18"/>
              </w:rPr>
              <w:t>Benzyna</w:t>
            </w:r>
          </w:p>
        </w:tc>
        <w:tc>
          <w:tcPr>
            <w:tcW w:w="506" w:type="pct"/>
            <w:shd w:val="clear" w:color="000000" w:fill="A6A6A6"/>
            <w:vAlign w:val="center"/>
          </w:tcPr>
          <w:p w:rsidR="00FB2534" w:rsidRDefault="00FB2534">
            <w:pPr>
              <w:jc w:val="center"/>
              <w:rPr>
                <w:rFonts w:ascii="Calibri" w:hAnsi="Calibri"/>
                <w:b/>
                <w:bCs/>
                <w:color w:val="000000"/>
                <w:sz w:val="18"/>
                <w:szCs w:val="18"/>
              </w:rPr>
            </w:pPr>
            <w:r>
              <w:rPr>
                <w:rFonts w:ascii="Calibri" w:hAnsi="Calibri"/>
                <w:b/>
                <w:bCs/>
                <w:color w:val="000000"/>
                <w:sz w:val="18"/>
                <w:szCs w:val="18"/>
              </w:rPr>
              <w:t>Olej napędowy</w:t>
            </w:r>
          </w:p>
        </w:tc>
        <w:tc>
          <w:tcPr>
            <w:tcW w:w="404" w:type="pct"/>
            <w:shd w:val="clear" w:color="000000" w:fill="A6A6A6"/>
            <w:vAlign w:val="center"/>
          </w:tcPr>
          <w:p w:rsidR="00FB2534" w:rsidRDefault="00FB2534">
            <w:pPr>
              <w:jc w:val="center"/>
              <w:rPr>
                <w:rFonts w:ascii="Calibri" w:hAnsi="Calibri"/>
                <w:b/>
                <w:bCs/>
                <w:color w:val="000000"/>
                <w:sz w:val="18"/>
                <w:szCs w:val="18"/>
              </w:rPr>
            </w:pPr>
            <w:r>
              <w:rPr>
                <w:rFonts w:ascii="Calibri" w:hAnsi="Calibri"/>
                <w:b/>
                <w:bCs/>
                <w:color w:val="000000"/>
                <w:sz w:val="18"/>
                <w:szCs w:val="18"/>
              </w:rPr>
              <w:t>LPG</w:t>
            </w:r>
          </w:p>
        </w:tc>
      </w:tr>
      <w:tr w:rsidR="00FB2534" w:rsidTr="00BA4F1C">
        <w:trPr>
          <w:trHeight w:val="240"/>
        </w:trPr>
        <w:tc>
          <w:tcPr>
            <w:tcW w:w="2055" w:type="pct"/>
            <w:vMerge/>
            <w:shd w:val="clear" w:color="000000" w:fill="A6A6A6"/>
            <w:vAlign w:val="center"/>
          </w:tcPr>
          <w:p w:rsidR="00FB2534" w:rsidRDefault="00FB2534">
            <w:pPr>
              <w:jc w:val="center"/>
              <w:rPr>
                <w:rFonts w:ascii="Calibri" w:hAnsi="Calibri"/>
                <w:b/>
                <w:bCs/>
                <w:sz w:val="18"/>
                <w:szCs w:val="18"/>
              </w:rPr>
            </w:pPr>
          </w:p>
        </w:tc>
        <w:tc>
          <w:tcPr>
            <w:tcW w:w="697" w:type="pct"/>
            <w:vMerge/>
            <w:vAlign w:val="center"/>
          </w:tcPr>
          <w:p w:rsidR="00FB2534" w:rsidRDefault="00FB2534">
            <w:pPr>
              <w:rPr>
                <w:rFonts w:ascii="Calibri" w:hAnsi="Calibri"/>
                <w:b/>
                <w:bCs/>
                <w:sz w:val="18"/>
                <w:szCs w:val="18"/>
              </w:rPr>
            </w:pPr>
          </w:p>
        </w:tc>
        <w:tc>
          <w:tcPr>
            <w:tcW w:w="441" w:type="pct"/>
            <w:vMerge/>
            <w:vAlign w:val="center"/>
          </w:tcPr>
          <w:p w:rsidR="00FB2534" w:rsidRDefault="00FB2534">
            <w:pPr>
              <w:rPr>
                <w:rFonts w:ascii="Calibri" w:hAnsi="Calibri"/>
                <w:b/>
                <w:bCs/>
                <w:sz w:val="18"/>
                <w:szCs w:val="18"/>
              </w:rPr>
            </w:pPr>
          </w:p>
        </w:tc>
        <w:tc>
          <w:tcPr>
            <w:tcW w:w="475" w:type="pc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[szt.]</w:t>
            </w:r>
          </w:p>
        </w:tc>
        <w:tc>
          <w:tcPr>
            <w:tcW w:w="422" w:type="pc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[l/rok]</w:t>
            </w:r>
          </w:p>
        </w:tc>
        <w:tc>
          <w:tcPr>
            <w:tcW w:w="506" w:type="pc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[l/rok]</w:t>
            </w:r>
          </w:p>
        </w:tc>
        <w:tc>
          <w:tcPr>
            <w:tcW w:w="404" w:type="pct"/>
            <w:shd w:val="clear" w:color="000000" w:fill="A6A6A6"/>
            <w:vAlign w:val="center"/>
          </w:tcPr>
          <w:p w:rsidR="00FB2534" w:rsidRDefault="00FB2534">
            <w:pPr>
              <w:jc w:val="center"/>
              <w:rPr>
                <w:rFonts w:ascii="Calibri" w:hAnsi="Calibri"/>
                <w:b/>
                <w:bCs/>
                <w:sz w:val="18"/>
                <w:szCs w:val="18"/>
              </w:rPr>
            </w:pPr>
            <w:r>
              <w:rPr>
                <w:rFonts w:ascii="Calibri" w:hAnsi="Calibri"/>
                <w:b/>
                <w:bCs/>
                <w:sz w:val="18"/>
                <w:szCs w:val="18"/>
              </w:rPr>
              <w:t>[l/rok]</w:t>
            </w:r>
          </w:p>
        </w:tc>
      </w:tr>
      <w:tr w:rsidR="00FB2534" w:rsidTr="00BA4F1C">
        <w:trPr>
          <w:trHeight w:val="240"/>
        </w:trPr>
        <w:tc>
          <w:tcPr>
            <w:tcW w:w="2055" w:type="pct"/>
            <w:noWrap/>
            <w:vAlign w:val="center"/>
          </w:tcPr>
          <w:p w:rsidR="00FB2534" w:rsidRDefault="00FB2534" w:rsidP="00F74A84">
            <w:pPr>
              <w:rPr>
                <w:rFonts w:ascii="Calibri" w:hAnsi="Calibri"/>
                <w:sz w:val="18"/>
                <w:szCs w:val="18"/>
              </w:rPr>
            </w:pPr>
            <w:r>
              <w:rPr>
                <w:rFonts w:ascii="Calibri" w:hAnsi="Calibri"/>
                <w:sz w:val="18"/>
                <w:szCs w:val="18"/>
              </w:rPr>
              <w:t>Urząd Gminy Malbork</w:t>
            </w:r>
          </w:p>
        </w:tc>
        <w:tc>
          <w:tcPr>
            <w:tcW w:w="697" w:type="pct"/>
            <w:vAlign w:val="center"/>
          </w:tcPr>
          <w:p w:rsidR="00FB2534" w:rsidRDefault="00FB2534" w:rsidP="00F74A84">
            <w:pPr>
              <w:rPr>
                <w:rFonts w:ascii="Calibri" w:hAnsi="Calibri"/>
                <w:sz w:val="18"/>
                <w:szCs w:val="18"/>
              </w:rPr>
            </w:pPr>
            <w:r>
              <w:rPr>
                <w:rFonts w:ascii="Calibri" w:hAnsi="Calibri"/>
                <w:sz w:val="18"/>
                <w:szCs w:val="18"/>
              </w:rPr>
              <w:t>Ford Transit</w:t>
            </w:r>
          </w:p>
        </w:tc>
        <w:tc>
          <w:tcPr>
            <w:tcW w:w="441" w:type="pct"/>
            <w:vAlign w:val="center"/>
          </w:tcPr>
          <w:p w:rsidR="00FB2534" w:rsidRDefault="00FB2534" w:rsidP="00F74A84">
            <w:pPr>
              <w:jc w:val="center"/>
              <w:rPr>
                <w:rFonts w:ascii="Calibri" w:hAnsi="Calibri"/>
                <w:sz w:val="18"/>
                <w:szCs w:val="18"/>
              </w:rPr>
            </w:pPr>
            <w:r>
              <w:rPr>
                <w:rFonts w:ascii="Calibri" w:hAnsi="Calibri"/>
                <w:sz w:val="18"/>
                <w:szCs w:val="18"/>
              </w:rPr>
              <w:t>0</w:t>
            </w:r>
          </w:p>
        </w:tc>
        <w:tc>
          <w:tcPr>
            <w:tcW w:w="475" w:type="pct"/>
            <w:vAlign w:val="center"/>
          </w:tcPr>
          <w:p w:rsidR="00FB2534" w:rsidRDefault="00FB2534" w:rsidP="00F74A84">
            <w:pPr>
              <w:jc w:val="right"/>
              <w:rPr>
                <w:rFonts w:ascii="Calibri" w:hAnsi="Calibri"/>
                <w:sz w:val="18"/>
                <w:szCs w:val="18"/>
              </w:rPr>
            </w:pPr>
            <w:r>
              <w:rPr>
                <w:rFonts w:ascii="Calibri" w:hAnsi="Calibri"/>
                <w:sz w:val="18"/>
                <w:szCs w:val="18"/>
              </w:rPr>
              <w:t>1</w:t>
            </w:r>
          </w:p>
        </w:tc>
        <w:tc>
          <w:tcPr>
            <w:tcW w:w="422" w:type="pct"/>
            <w:vAlign w:val="center"/>
          </w:tcPr>
          <w:p w:rsidR="00FB2534" w:rsidRDefault="00FB2534" w:rsidP="00F74A84">
            <w:pPr>
              <w:jc w:val="right"/>
              <w:rPr>
                <w:rFonts w:ascii="Calibri" w:hAnsi="Calibri"/>
                <w:sz w:val="18"/>
                <w:szCs w:val="18"/>
              </w:rPr>
            </w:pPr>
            <w:r>
              <w:rPr>
                <w:rFonts w:ascii="Calibri" w:hAnsi="Calibri"/>
                <w:sz w:val="18"/>
                <w:szCs w:val="18"/>
              </w:rPr>
              <w:t>8 100</w:t>
            </w:r>
          </w:p>
        </w:tc>
        <w:tc>
          <w:tcPr>
            <w:tcW w:w="506" w:type="pct"/>
            <w:vAlign w:val="center"/>
          </w:tcPr>
          <w:p w:rsidR="00FB2534" w:rsidRDefault="00FB2534" w:rsidP="00F74A84">
            <w:pPr>
              <w:jc w:val="right"/>
              <w:rPr>
                <w:rFonts w:ascii="Calibri" w:hAnsi="Calibri"/>
                <w:sz w:val="18"/>
                <w:szCs w:val="18"/>
              </w:rPr>
            </w:pPr>
            <w:r>
              <w:rPr>
                <w:rFonts w:ascii="Calibri" w:hAnsi="Calibri"/>
                <w:sz w:val="18"/>
                <w:szCs w:val="18"/>
              </w:rPr>
              <w:t>0</w:t>
            </w:r>
          </w:p>
        </w:tc>
        <w:tc>
          <w:tcPr>
            <w:tcW w:w="404" w:type="pct"/>
            <w:vAlign w:val="center"/>
          </w:tcPr>
          <w:p w:rsidR="00FB2534" w:rsidRDefault="00FB2534" w:rsidP="00F74A84">
            <w:pPr>
              <w:jc w:val="right"/>
              <w:rPr>
                <w:rFonts w:ascii="Calibri" w:hAnsi="Calibri"/>
                <w:sz w:val="18"/>
                <w:szCs w:val="18"/>
              </w:rPr>
            </w:pPr>
            <w:r>
              <w:rPr>
                <w:rFonts w:ascii="Calibri" w:hAnsi="Calibri"/>
                <w:sz w:val="18"/>
                <w:szCs w:val="18"/>
              </w:rPr>
              <w:t>0</w:t>
            </w:r>
          </w:p>
        </w:tc>
      </w:tr>
    </w:tbl>
    <w:p w:rsidR="00FB2534" w:rsidRDefault="00FB2534" w:rsidP="00BA4F1C">
      <w:pPr>
        <w:pStyle w:val="GOMnormal"/>
        <w:sectPr w:rsidR="00FB2534" w:rsidSect="001D6A64">
          <w:pgSz w:w="11906" w:h="16838" w:code="9"/>
          <w:pgMar w:top="1440" w:right="1440" w:bottom="1440" w:left="1800" w:header="709" w:footer="709" w:gutter="0"/>
          <w:cols w:space="708"/>
          <w:docGrid w:linePitch="360"/>
        </w:sectPr>
      </w:pPr>
      <w:r>
        <w:t xml:space="preserve"> </w:t>
      </w:r>
    </w:p>
    <w:p w:rsidR="00FB2534" w:rsidRPr="006A49C0" w:rsidRDefault="00FB2534" w:rsidP="00EC1AEA">
      <w:pPr>
        <w:pStyle w:val="GOMnagspis"/>
        <w:rPr>
          <w:color w:val="auto"/>
          <w:sz w:val="18"/>
          <w:szCs w:val="18"/>
        </w:rPr>
      </w:pPr>
      <w:bookmarkStart w:id="231" w:name="_Toc422133358"/>
      <w:bookmarkEnd w:id="61"/>
      <w:bookmarkEnd w:id="62"/>
      <w:bookmarkEnd w:id="63"/>
      <w:bookmarkEnd w:id="64"/>
      <w:bookmarkEnd w:id="65"/>
      <w:bookmarkEnd w:id="66"/>
      <w:bookmarkEnd w:id="67"/>
      <w:bookmarkEnd w:id="68"/>
      <w:bookmarkEnd w:id="69"/>
      <w:r w:rsidRPr="006A49C0">
        <w:t>Spis tabel</w:t>
      </w:r>
      <w:bookmarkEnd w:id="231"/>
    </w:p>
    <w:p w:rsidR="00FB2534" w:rsidRPr="00AC1CBB" w:rsidRDefault="00FB2534">
      <w:pPr>
        <w:pStyle w:val="TableofFigures"/>
        <w:tabs>
          <w:tab w:val="right" w:leader="dot" w:pos="8656"/>
        </w:tabs>
        <w:rPr>
          <w:rFonts w:ascii="Calibri" w:hAnsi="Calibri"/>
          <w:bCs w:val="0"/>
          <w:noProof/>
          <w:kern w:val="0"/>
          <w:szCs w:val="18"/>
        </w:rPr>
      </w:pPr>
      <w:r w:rsidRPr="002E6D2D">
        <w:rPr>
          <w:rFonts w:ascii="Calibri" w:hAnsi="Calibri"/>
          <w:szCs w:val="18"/>
        </w:rPr>
        <w:fldChar w:fldCharType="begin"/>
      </w:r>
      <w:r w:rsidRPr="002E6D2D">
        <w:rPr>
          <w:rFonts w:ascii="Calibri" w:hAnsi="Calibri"/>
          <w:szCs w:val="18"/>
        </w:rPr>
        <w:instrText xml:space="preserve"> TOC \h \z \c "Tabela" </w:instrText>
      </w:r>
      <w:r w:rsidRPr="002E6D2D">
        <w:rPr>
          <w:rFonts w:ascii="Calibri" w:hAnsi="Calibri"/>
          <w:szCs w:val="18"/>
        </w:rPr>
        <w:fldChar w:fldCharType="separate"/>
      </w:r>
      <w:hyperlink w:anchor="_Toc422135094" w:history="1">
        <w:r w:rsidRPr="002E6D2D">
          <w:rPr>
            <w:rStyle w:val="Hyperlink"/>
            <w:rFonts w:ascii="Calibri" w:hAnsi="Calibri"/>
            <w:noProof/>
            <w:sz w:val="18"/>
            <w:szCs w:val="18"/>
          </w:rPr>
          <w:t>Tabela 1. Porównanie wskaźników emisji (standardowy i LCA) dla wybranych paliw i źródeł energii odnawialnej</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_Toc422135094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17</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095" w:history="1">
        <w:r w:rsidRPr="002E6D2D">
          <w:rPr>
            <w:rStyle w:val="Hyperlink"/>
            <w:rFonts w:ascii="Calibri" w:hAnsi="Calibri"/>
            <w:noProof/>
            <w:sz w:val="18"/>
            <w:szCs w:val="18"/>
          </w:rPr>
          <w:t>Tabela 2. Wskaźniki emisji CO</w:t>
        </w:r>
        <w:r w:rsidRPr="002E6D2D">
          <w:rPr>
            <w:rStyle w:val="Hyperlink"/>
            <w:rFonts w:ascii="Calibri" w:hAnsi="Calibri"/>
            <w:noProof/>
            <w:sz w:val="18"/>
            <w:szCs w:val="18"/>
            <w:vertAlign w:val="subscript"/>
          </w:rPr>
          <w:t>2</w:t>
        </w:r>
        <w:r w:rsidRPr="002E6D2D">
          <w:rPr>
            <w:rStyle w:val="Hyperlink"/>
            <w:rFonts w:ascii="Calibri" w:hAnsi="Calibri"/>
            <w:noProof/>
            <w:sz w:val="18"/>
            <w:szCs w:val="18"/>
          </w:rPr>
          <w:t xml:space="preserve"> dla energii elektrycznej i ciepła sieciowego przyjęte do obliczeń emisji</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_Toc422135095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18</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096" w:history="1">
        <w:r w:rsidRPr="002E6D2D">
          <w:rPr>
            <w:rStyle w:val="Hyperlink"/>
            <w:rFonts w:ascii="Calibri" w:hAnsi="Calibri"/>
            <w:noProof/>
            <w:sz w:val="18"/>
            <w:szCs w:val="18"/>
          </w:rPr>
          <w:t>Tabela 3. Zestawienie wykorzystanych wskaźników emisji CO</w:t>
        </w:r>
        <w:r w:rsidRPr="002E6D2D">
          <w:rPr>
            <w:rStyle w:val="Hyperlink"/>
            <w:rFonts w:ascii="Calibri" w:hAnsi="Calibri"/>
            <w:noProof/>
            <w:sz w:val="18"/>
            <w:szCs w:val="18"/>
            <w:vertAlign w:val="subscript"/>
          </w:rPr>
          <w:t>2</w:t>
        </w:r>
        <w:r w:rsidRPr="002E6D2D">
          <w:rPr>
            <w:rStyle w:val="Hyperlink"/>
            <w:rFonts w:ascii="Calibri" w:hAnsi="Calibri"/>
            <w:noProof/>
            <w:sz w:val="18"/>
            <w:szCs w:val="18"/>
          </w:rPr>
          <w:t xml:space="preserve"> dla paliw (źródło: „Jak opracować plan działań na rzecz zrównoważonej energii (SEAP)?”)</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_Toc422135096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19</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097" w:history="1">
        <w:r w:rsidRPr="002E6D2D">
          <w:rPr>
            <w:rStyle w:val="Hyperlink"/>
            <w:rFonts w:ascii="Calibri" w:hAnsi="Calibri"/>
            <w:noProof/>
            <w:sz w:val="18"/>
            <w:szCs w:val="18"/>
          </w:rPr>
          <w:t>Tabela 4. Globalny potencjał ocieplenia gazów cieplarnianych (źródło: wg Second Assessment Report)</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_Toc422135097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19</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098" w:history="1">
        <w:r w:rsidRPr="002E6D2D">
          <w:rPr>
            <w:rStyle w:val="Hyperlink"/>
            <w:rFonts w:ascii="Calibri" w:hAnsi="Calibri"/>
            <w:noProof/>
            <w:sz w:val="18"/>
            <w:szCs w:val="18"/>
          </w:rPr>
          <w:t>Tabela 5. Wskaźniki emisji gazów cieplarnianych z działalności rolniczej</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_Toc422135098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21</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099" w:history="1">
        <w:r w:rsidRPr="002E6D2D">
          <w:rPr>
            <w:rStyle w:val="Hyperlink"/>
            <w:rFonts w:ascii="Calibri" w:hAnsi="Calibri"/>
            <w:noProof/>
            <w:sz w:val="18"/>
            <w:szCs w:val="18"/>
          </w:rPr>
          <w:t>Tabela 6. Wskaźniki emisji gazów cieplarnianych z terenów leśnych</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_Toc422135099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22</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0" w:history="1">
        <w:r w:rsidRPr="002E6D2D">
          <w:rPr>
            <w:rStyle w:val="Hyperlink"/>
            <w:rFonts w:ascii="Calibri" w:hAnsi="Calibri"/>
            <w:noProof/>
            <w:sz w:val="18"/>
            <w:szCs w:val="18"/>
          </w:rPr>
          <w:t>Tabela 7. Wskaźniki emisji gazów cieplarnianych z sektora gospodarki odpadami</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_Toc422135100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22</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1" w:history="1">
        <w:r w:rsidRPr="002E6D2D">
          <w:rPr>
            <w:rStyle w:val="Hyperlink"/>
            <w:rFonts w:ascii="Calibri" w:hAnsi="Calibri"/>
            <w:noProof/>
            <w:sz w:val="18"/>
            <w:szCs w:val="18"/>
          </w:rPr>
          <w:t>Tabela 8. Zużycie energii finalnej oraz emisja gazów cieplarnianych w Gminie Wiejskiej Malbork w roku 2013</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_Toc422135101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23</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2" w:history="1">
        <w:r w:rsidRPr="002E6D2D">
          <w:rPr>
            <w:rStyle w:val="Hyperlink"/>
            <w:rFonts w:ascii="Calibri" w:hAnsi="Calibri"/>
            <w:noProof/>
            <w:sz w:val="18"/>
            <w:szCs w:val="18"/>
          </w:rPr>
          <w:t>Tabela 9. Zużycie energii finalnej (elektrycznej i cieplnej) w Gminie Wiejskiej Malbork w poszczególnych sektorach</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_Toc422135102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26</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3" w:history="1">
        <w:r w:rsidRPr="002E6D2D">
          <w:rPr>
            <w:rStyle w:val="Hyperlink"/>
            <w:rFonts w:ascii="Calibri" w:hAnsi="Calibri"/>
            <w:noProof/>
            <w:sz w:val="18"/>
            <w:szCs w:val="18"/>
          </w:rPr>
          <w:t>Tabela 10. Emisja ekwiwalentnego dwutlenku węgla wynikająca ze zużycia energii elektrycznej i cieplnej w Gminie Wiejskiej Malbork w poszczególnych sektorach</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_Toc422135103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26</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4" w:history="1">
        <w:r w:rsidRPr="002E6D2D">
          <w:rPr>
            <w:rStyle w:val="Hyperlink"/>
            <w:rFonts w:ascii="Calibri" w:hAnsi="Calibri"/>
            <w:noProof/>
            <w:sz w:val="18"/>
            <w:szCs w:val="18"/>
          </w:rPr>
          <w:t>Tabela 11. Zużycie paliw w przeliczeniu na energię finalną w Gminie Wiejskiej Malbork w poszczególnych sektorach</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_Toc422135104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26</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5" w:history="1">
        <w:r w:rsidRPr="002E6D2D">
          <w:rPr>
            <w:rStyle w:val="Hyperlink"/>
            <w:rFonts w:ascii="Calibri" w:hAnsi="Calibri"/>
            <w:noProof/>
            <w:sz w:val="18"/>
            <w:szCs w:val="18"/>
          </w:rPr>
          <w:t>Tabela 12. Emisja ekwiwalentnego dwutlenku węgla w Gminie Wiejskiej Malbork w poszczególnych sektorach wynikająca ze zużycia różnego rodzaju paliw</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_Toc422135105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28</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6" w:history="1">
        <w:r w:rsidRPr="002E6D2D">
          <w:rPr>
            <w:rStyle w:val="Hyperlink"/>
            <w:rFonts w:ascii="Calibri" w:hAnsi="Calibri"/>
            <w:noProof/>
            <w:sz w:val="18"/>
            <w:szCs w:val="18"/>
          </w:rPr>
          <w:t>Tabela 13. Zużycie poszczególnych paliw w przeliczeniu na energię finalną oraz emisja dwutlenku węgla w sektorze transportu wynikająca ze spalania różnych paliw</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_Toc422135106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29</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7" w:history="1">
        <w:r w:rsidRPr="002E6D2D">
          <w:rPr>
            <w:rStyle w:val="Hyperlink"/>
            <w:rFonts w:ascii="Calibri" w:hAnsi="Calibri"/>
            <w:noProof/>
            <w:sz w:val="18"/>
            <w:szCs w:val="18"/>
          </w:rPr>
          <w:t>Tabela 14. Zużycie paliw w Gminie Wiejskiej Malbork</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_Toc422135107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30</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8" w:history="1">
        <w:r w:rsidRPr="002E6D2D">
          <w:rPr>
            <w:rStyle w:val="Hyperlink"/>
            <w:rFonts w:ascii="Calibri" w:hAnsi="Calibri"/>
            <w:noProof/>
            <w:sz w:val="18"/>
            <w:szCs w:val="18"/>
          </w:rPr>
          <w:t>Tabela 15. Dane o powierzchni upraw, hodowli zwierząt oraz emisji gazów cieplarnianych z sektora rolnictwa</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_Toc422135108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33</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09" w:history="1">
        <w:r w:rsidRPr="002E6D2D">
          <w:rPr>
            <w:rStyle w:val="Hyperlink"/>
            <w:rFonts w:ascii="Calibri" w:hAnsi="Calibri"/>
            <w:noProof/>
            <w:sz w:val="18"/>
            <w:szCs w:val="18"/>
          </w:rPr>
          <w:t>Tabela 16. Masa odpadów z terenu Gminy Wiejskiej Malbork unieszkodliwionych termicznie lub poprzez składowanie na składowiskach w roku bazowym 2013</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_Toc422135109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33</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10" w:history="1">
        <w:r w:rsidRPr="002E6D2D">
          <w:rPr>
            <w:rStyle w:val="Hyperlink"/>
            <w:rFonts w:ascii="Calibri" w:hAnsi="Calibri"/>
            <w:noProof/>
            <w:sz w:val="18"/>
            <w:szCs w:val="18"/>
          </w:rPr>
          <w:t>Tabela 17. Wielkość emisji gazów cieplarnianych z sektorów rolnictwa, leśnictwa i gospodarki odpadami na terenie Gminy Wiejskiej Malbork</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_Toc422135110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33</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11" w:history="1">
        <w:r w:rsidRPr="002E6D2D">
          <w:rPr>
            <w:rStyle w:val="Hyperlink"/>
            <w:rFonts w:ascii="Calibri" w:hAnsi="Calibri"/>
            <w:noProof/>
            <w:sz w:val="18"/>
            <w:szCs w:val="18"/>
          </w:rPr>
          <w:t>Tabela 18. Wielkości emisji zanieczyszczeń powietrza ujętych w Bazie Danych PGN GOM dla Gminy Wiejskiej Malbork</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_Toc422135111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39</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12" w:history="1">
        <w:r w:rsidRPr="002E6D2D">
          <w:rPr>
            <w:rStyle w:val="Hyperlink"/>
            <w:rFonts w:ascii="Calibri" w:hAnsi="Calibri"/>
            <w:noProof/>
            <w:sz w:val="18"/>
            <w:szCs w:val="18"/>
          </w:rPr>
          <w:t>Tabela 19. Harmonogram rzeczowo-finansowy działań PGN dla gminy Malbork na lata 2015-2020 z perspektywą do roku 2030 (źródło: opracowanie własne)</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_Toc422135112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42</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13" w:history="1">
        <w:r w:rsidRPr="002E6D2D">
          <w:rPr>
            <w:rStyle w:val="Hyperlink"/>
            <w:rFonts w:ascii="Calibri" w:hAnsi="Calibri"/>
            <w:noProof/>
            <w:sz w:val="18"/>
            <w:szCs w:val="18"/>
          </w:rPr>
          <w:t>Tabela 20. Efekt redukcji emisji zanieczyszczeń powietrza w wyniku realizacji zadań harmonogramu rzeczowo-finansowego PGN dla Gminy Wiejskiej Malbork na lata 2015-2020 z perspektywą do roku 2030 (źródło: opracowanie własne)</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_Toc422135113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48</w:t>
        </w:r>
        <w:r w:rsidRPr="002E6D2D">
          <w:rPr>
            <w:rFonts w:ascii="Calibri" w:hAnsi="Calibri"/>
            <w:noProof/>
            <w:webHidden/>
            <w:szCs w:val="18"/>
          </w:rPr>
          <w:fldChar w:fldCharType="end"/>
        </w:r>
      </w:hyperlink>
    </w:p>
    <w:p w:rsidR="00FB2534" w:rsidRPr="00AC1CBB" w:rsidRDefault="00FB2534">
      <w:pPr>
        <w:pStyle w:val="TableofFigures"/>
        <w:tabs>
          <w:tab w:val="right" w:leader="dot" w:pos="8656"/>
        </w:tabs>
        <w:rPr>
          <w:rFonts w:ascii="Calibri" w:hAnsi="Calibri"/>
          <w:bCs w:val="0"/>
          <w:noProof/>
          <w:kern w:val="0"/>
          <w:szCs w:val="18"/>
        </w:rPr>
      </w:pPr>
      <w:hyperlink w:anchor="_Toc422135114" w:history="1">
        <w:r w:rsidRPr="002E6D2D">
          <w:rPr>
            <w:rStyle w:val="Hyperlink"/>
            <w:rFonts w:ascii="Calibri" w:hAnsi="Calibri"/>
            <w:noProof/>
            <w:sz w:val="18"/>
            <w:szCs w:val="18"/>
          </w:rPr>
          <w:t>Tabela 21. Dane przekazane przez Gminę Malbork w ramach ankiety dotyczącej gminnych środków transportu</w:t>
        </w:r>
        <w:r w:rsidRPr="002E6D2D">
          <w:rPr>
            <w:rFonts w:ascii="Calibri" w:hAnsi="Calibri"/>
            <w:noProof/>
            <w:webHidden/>
            <w:szCs w:val="18"/>
          </w:rPr>
          <w:tab/>
        </w:r>
        <w:r w:rsidRPr="002E6D2D">
          <w:rPr>
            <w:rFonts w:ascii="Calibri" w:hAnsi="Calibri"/>
            <w:noProof/>
            <w:webHidden/>
            <w:szCs w:val="18"/>
          </w:rPr>
          <w:fldChar w:fldCharType="begin"/>
        </w:r>
        <w:r w:rsidRPr="002E6D2D">
          <w:rPr>
            <w:rFonts w:ascii="Calibri" w:hAnsi="Calibri"/>
            <w:noProof/>
            <w:webHidden/>
            <w:szCs w:val="18"/>
          </w:rPr>
          <w:instrText xml:space="preserve"> PAGEREF _Toc422135114 \h </w:instrText>
        </w:r>
        <w:r w:rsidRPr="002E6D2D">
          <w:rPr>
            <w:rFonts w:ascii="Calibri" w:hAnsi="Calibri"/>
            <w:noProof/>
            <w:webHidden/>
            <w:szCs w:val="18"/>
          </w:rPr>
        </w:r>
        <w:r w:rsidRPr="002E6D2D">
          <w:rPr>
            <w:rFonts w:ascii="Calibri" w:hAnsi="Calibri"/>
            <w:noProof/>
            <w:webHidden/>
            <w:szCs w:val="18"/>
          </w:rPr>
          <w:fldChar w:fldCharType="separate"/>
        </w:r>
        <w:r>
          <w:rPr>
            <w:rFonts w:ascii="Calibri" w:hAnsi="Calibri"/>
            <w:noProof/>
            <w:webHidden/>
            <w:szCs w:val="18"/>
          </w:rPr>
          <w:t>50</w:t>
        </w:r>
        <w:r w:rsidRPr="002E6D2D">
          <w:rPr>
            <w:rFonts w:ascii="Calibri" w:hAnsi="Calibri"/>
            <w:noProof/>
            <w:webHidden/>
            <w:szCs w:val="18"/>
          </w:rPr>
          <w:fldChar w:fldCharType="end"/>
        </w:r>
      </w:hyperlink>
    </w:p>
    <w:p w:rsidR="00FB2534" w:rsidRPr="006A49C0" w:rsidRDefault="00FB2534" w:rsidP="00047165">
      <w:pPr>
        <w:pStyle w:val="GOMtytul"/>
        <w:rPr>
          <w:rFonts w:ascii="Times New Roman" w:hAnsi="Times New Roman"/>
          <w:sz w:val="22"/>
          <w:szCs w:val="22"/>
        </w:rPr>
      </w:pPr>
      <w:r w:rsidRPr="002E6D2D">
        <w:rPr>
          <w:szCs w:val="18"/>
        </w:rPr>
        <w:fldChar w:fldCharType="end"/>
      </w:r>
    </w:p>
    <w:p w:rsidR="00FB2534" w:rsidRPr="006A49C0" w:rsidRDefault="00FB2534" w:rsidP="00EC1AEA">
      <w:pPr>
        <w:pStyle w:val="GOMnagspis"/>
      </w:pPr>
      <w:bookmarkStart w:id="232" w:name="_Toc245830974"/>
      <w:bookmarkStart w:id="233" w:name="_Toc250939972"/>
      <w:bookmarkStart w:id="234" w:name="_Toc422133359"/>
      <w:r w:rsidRPr="006A49C0">
        <w:t>Spis rysunków</w:t>
      </w:r>
      <w:bookmarkEnd w:id="232"/>
      <w:bookmarkEnd w:id="233"/>
      <w:bookmarkEnd w:id="234"/>
    </w:p>
    <w:p w:rsidR="00FB2534" w:rsidRPr="00AC1CBB" w:rsidRDefault="00FB2534">
      <w:pPr>
        <w:pStyle w:val="TableofFigures"/>
        <w:tabs>
          <w:tab w:val="right" w:leader="dot" w:pos="8656"/>
        </w:tabs>
        <w:rPr>
          <w:rFonts w:ascii="Calibri" w:hAnsi="Calibri" w:cs="Calibri"/>
          <w:bCs w:val="0"/>
          <w:noProof/>
          <w:kern w:val="0"/>
          <w:szCs w:val="18"/>
        </w:rPr>
      </w:pPr>
      <w:r w:rsidRPr="00AC1CBB">
        <w:rPr>
          <w:rFonts w:ascii="Calibri" w:hAnsi="Calibri" w:cs="Calibri"/>
          <w:color w:val="339933"/>
          <w:szCs w:val="18"/>
        </w:rPr>
        <w:fldChar w:fldCharType="begin"/>
      </w:r>
      <w:r w:rsidRPr="00AC1CBB">
        <w:rPr>
          <w:rFonts w:ascii="Calibri" w:hAnsi="Calibri" w:cs="Calibri"/>
          <w:color w:val="339933"/>
          <w:szCs w:val="18"/>
        </w:rPr>
        <w:instrText xml:space="preserve"> TOC \h \z \c "Rysunek" </w:instrText>
      </w:r>
      <w:r w:rsidRPr="00AC1CBB">
        <w:rPr>
          <w:rFonts w:ascii="Calibri" w:hAnsi="Calibri" w:cs="Calibri"/>
          <w:color w:val="339933"/>
          <w:szCs w:val="18"/>
        </w:rPr>
        <w:fldChar w:fldCharType="separate"/>
      </w:r>
      <w:hyperlink w:anchor="_Toc422133274" w:history="1">
        <w:r w:rsidRPr="00AC1CBB">
          <w:rPr>
            <w:rStyle w:val="Hyperlink"/>
            <w:rFonts w:ascii="Calibri" w:hAnsi="Calibri" w:cs="Calibri"/>
            <w:noProof/>
            <w:sz w:val="18"/>
            <w:szCs w:val="18"/>
          </w:rPr>
          <w:t>Rysunek 1. Położenie gminy Malbork (źródło: www.google.pl/maps/)</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_Toc422133274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9</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75" w:history="1">
        <w:r w:rsidRPr="00AC1CBB">
          <w:rPr>
            <w:rStyle w:val="Hyperlink"/>
            <w:rFonts w:ascii="Calibri" w:hAnsi="Calibri" w:cs="Calibri"/>
            <w:noProof/>
            <w:sz w:val="18"/>
            <w:szCs w:val="18"/>
          </w:rPr>
          <w:t>Rysunek 2 Rozkład stężeń średniorocznych benzo(a)pirenu na terenie gminy Malbork w roku bazowym 2011 (źródło: opracowanie własne na podstawie POP dla strefy pomorskiej)</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_Toc422133275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13</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76" w:history="1">
        <w:r w:rsidRPr="00AC1CBB">
          <w:rPr>
            <w:rStyle w:val="Hyperlink"/>
            <w:rFonts w:ascii="Calibri" w:hAnsi="Calibri" w:cs="Calibri"/>
            <w:noProof/>
            <w:sz w:val="18"/>
            <w:szCs w:val="18"/>
          </w:rPr>
          <w:t>Rysunek 3. Masa zebranych odpadów komunalnych w latach 2005-2013 (źródło: GUS 2013r.)</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_Toc422133276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14</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77" w:history="1">
        <w:r w:rsidRPr="00AC1CBB">
          <w:rPr>
            <w:rStyle w:val="Hyperlink"/>
            <w:rFonts w:ascii="Calibri" w:hAnsi="Calibri" w:cs="Calibri"/>
            <w:noProof/>
            <w:sz w:val="18"/>
            <w:szCs w:val="18"/>
          </w:rPr>
          <w:t>Rysunek 4. Struktura zużycia energii finalnej w Gminie Wiejskiej Malbork</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_Toc422133277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24</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78" w:history="1">
        <w:r w:rsidRPr="00AC1CBB">
          <w:rPr>
            <w:rStyle w:val="Hyperlink"/>
            <w:rFonts w:ascii="Calibri" w:hAnsi="Calibri" w:cs="Calibri"/>
            <w:noProof/>
            <w:sz w:val="18"/>
            <w:szCs w:val="18"/>
          </w:rPr>
          <w:t>Rysunek 5. Struktura emisji ekwiwalentnego dwutlenku węgla w Gminie Wiejskiej Malbork</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_Toc422133278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25</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79" w:history="1">
        <w:r w:rsidRPr="00AC1CBB">
          <w:rPr>
            <w:rStyle w:val="Hyperlink"/>
            <w:rFonts w:ascii="Calibri" w:hAnsi="Calibri" w:cs="Calibri"/>
            <w:noProof/>
            <w:sz w:val="18"/>
            <w:szCs w:val="18"/>
          </w:rPr>
          <w:t>Rysunek 6. Wielkość emisji ekwiwalentnego dwutlenku węgla z poszczególnych sektorów w Gminie Wiejskiej Malbork</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_Toc422133279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25</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0" w:history="1">
        <w:r w:rsidRPr="00AC1CBB">
          <w:rPr>
            <w:rStyle w:val="Hyperlink"/>
            <w:rFonts w:ascii="Calibri" w:hAnsi="Calibri" w:cs="Calibri"/>
            <w:noProof/>
            <w:sz w:val="18"/>
            <w:szCs w:val="18"/>
          </w:rPr>
          <w:t>Rysunek 7. Struktura udziałów poszczególnych paliw oraz energii cieplnej i elektrycznej zużywanych w Gminie Wiejskiej Malbork w emisji dwutlenku węgla</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_Toc422133280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28</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1" w:history="1">
        <w:r w:rsidRPr="00AC1CBB">
          <w:rPr>
            <w:rStyle w:val="Hyperlink"/>
            <w:rFonts w:ascii="Calibri" w:hAnsi="Calibri" w:cs="Calibri"/>
            <w:noProof/>
            <w:sz w:val="18"/>
            <w:szCs w:val="18"/>
          </w:rPr>
          <w:t>Rysunek 8. Struktura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wynikającej ze zużycie energii elektrycznej, cieplnej oraz poszczególnych paliw w analizowanych sektorach</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_Toc422133281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29</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2" w:history="1">
        <w:r w:rsidRPr="00AC1CBB">
          <w:rPr>
            <w:rStyle w:val="Hyperlink"/>
            <w:rFonts w:ascii="Calibri" w:hAnsi="Calibri" w:cs="Calibri"/>
            <w:noProof/>
            <w:sz w:val="18"/>
            <w:szCs w:val="18"/>
          </w:rPr>
          <w:t>Rysunek 9. Struktura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wynikającej ze zużycia poszczególnych paliw w sektorze transportu</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_Toc422133282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30</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3" w:history="1">
        <w:r w:rsidRPr="00AC1CBB">
          <w:rPr>
            <w:rStyle w:val="Hyperlink"/>
            <w:rFonts w:ascii="Calibri" w:hAnsi="Calibri" w:cs="Calibri"/>
            <w:noProof/>
            <w:sz w:val="18"/>
            <w:szCs w:val="18"/>
          </w:rPr>
          <w:t>Rysunek 10. Struktura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wynikającej ze zużycia energii elektrycznej, cieplnej oraz poszczególnych paliw w sektorze budynków mieszkalnych</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_Toc422133283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31</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4" w:history="1">
        <w:r w:rsidRPr="00AC1CBB">
          <w:rPr>
            <w:rStyle w:val="Hyperlink"/>
            <w:rFonts w:ascii="Calibri" w:hAnsi="Calibri" w:cs="Calibri"/>
            <w:noProof/>
            <w:sz w:val="18"/>
            <w:szCs w:val="18"/>
          </w:rPr>
          <w:t>Rysunek 11. Struktura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wynikającej ze zużycia energii elektrycznej, cieplnej oraz poszczególnych paliw w sektorze handlu i usług</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_Toc422133284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31</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5" w:history="1">
        <w:r w:rsidRPr="00AC1CBB">
          <w:rPr>
            <w:rStyle w:val="Hyperlink"/>
            <w:rFonts w:ascii="Calibri" w:hAnsi="Calibri" w:cs="Calibri"/>
            <w:noProof/>
            <w:sz w:val="18"/>
            <w:szCs w:val="18"/>
          </w:rPr>
          <w:t>Rysunek 12. Struktura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wynikającej ze zużycia energii elektrycznej, cieplnej oraz poszczególnych paliw w sektorze budynków użyteczności publicznej</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_Toc422133285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32</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6" w:history="1">
        <w:r w:rsidRPr="00AC1CBB">
          <w:rPr>
            <w:rStyle w:val="Hyperlink"/>
            <w:rFonts w:ascii="Calibri" w:hAnsi="Calibri" w:cs="Calibri"/>
            <w:noProof/>
            <w:sz w:val="18"/>
            <w:szCs w:val="18"/>
          </w:rPr>
          <w:t>Rysunek 13. Emisja gazów cieplarnianych z sektorów rolnictwa, leśnictwa i gospodarki odpadami na terenie Gminy Wiejskiej Malbork</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_Toc422133286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34</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7" w:history="1">
        <w:r w:rsidRPr="00AC1CBB">
          <w:rPr>
            <w:rStyle w:val="Hyperlink"/>
            <w:rFonts w:ascii="Calibri" w:hAnsi="Calibri" w:cs="Calibri"/>
            <w:noProof/>
            <w:sz w:val="18"/>
            <w:szCs w:val="18"/>
          </w:rPr>
          <w:t>Rysunek 14. Struktura emisji gazów cieplarnianych (metanu i podtlenku azotu) z sektorów fakultatywnych</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_Toc422133287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34</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8" w:history="1">
        <w:r w:rsidRPr="00AC1CBB">
          <w:rPr>
            <w:rStyle w:val="Hyperlink"/>
            <w:rFonts w:ascii="Calibri" w:hAnsi="Calibri" w:cs="Calibri"/>
            <w:noProof/>
            <w:sz w:val="18"/>
            <w:szCs w:val="18"/>
          </w:rPr>
          <w:t>Rysunek 15. Wskaźnik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per capita [Mg/rok] (źródło: opracowanie własne na podstawie danych GUS, KOBIZE)</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_Toc422133288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36</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89" w:history="1">
        <w:r w:rsidRPr="00AC1CBB">
          <w:rPr>
            <w:rStyle w:val="Hyperlink"/>
            <w:rFonts w:ascii="Calibri" w:hAnsi="Calibri" w:cs="Calibri"/>
            <w:noProof/>
            <w:sz w:val="18"/>
            <w:szCs w:val="18"/>
          </w:rPr>
          <w:t>Rysunek 16. Zmiany emisji CO</w:t>
        </w:r>
        <w:r w:rsidRPr="00AC1CBB">
          <w:rPr>
            <w:rStyle w:val="Hyperlink"/>
            <w:rFonts w:ascii="Calibri" w:hAnsi="Calibri" w:cs="Calibri"/>
            <w:noProof/>
            <w:sz w:val="18"/>
            <w:szCs w:val="18"/>
            <w:vertAlign w:val="subscript"/>
          </w:rPr>
          <w:t>2</w:t>
        </w:r>
        <w:r w:rsidRPr="00AC1CBB">
          <w:rPr>
            <w:rStyle w:val="Hyperlink"/>
            <w:rFonts w:ascii="Calibri" w:hAnsi="Calibri" w:cs="Calibri"/>
            <w:noProof/>
            <w:sz w:val="18"/>
            <w:szCs w:val="18"/>
          </w:rPr>
          <w:t xml:space="preserve"> w gminie Malbork w latach 1995 – 2013, w stosunku do roku bazowego 2013 [%] (źródło: opracowanie własne na podstawie danych GUS)</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_Toc422133289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37</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90" w:history="1">
        <w:r w:rsidRPr="00AC1CBB">
          <w:rPr>
            <w:rStyle w:val="Hyperlink"/>
            <w:rFonts w:ascii="Calibri" w:hAnsi="Calibri" w:cs="Calibri"/>
            <w:noProof/>
            <w:sz w:val="18"/>
            <w:szCs w:val="18"/>
          </w:rPr>
          <w:t>Rysunek 17. Wskaźnik zużycia energii per capita [MWh/rok] (źródło: opracowanie własne na podstawie danych GUS i Banku Światowego)</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_Toc422133290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37</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91" w:history="1">
        <w:r w:rsidRPr="00AC1CBB">
          <w:rPr>
            <w:rStyle w:val="Hyperlink"/>
            <w:rFonts w:ascii="Calibri" w:hAnsi="Calibri" w:cs="Calibri"/>
            <w:noProof/>
            <w:sz w:val="18"/>
            <w:szCs w:val="18"/>
          </w:rPr>
          <w:t>Rysunek 18. Zmiany zużycia energii finalnej w gminie Malbork w latach 1995-2013, w stosunku do roku bazowego 2013 [%] (źródło: opracowanie własne na podstawie danych GUS)</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_Toc422133291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38</w:t>
        </w:r>
        <w:r w:rsidRPr="00AC1CBB">
          <w:rPr>
            <w:rFonts w:ascii="Calibri" w:hAnsi="Calibri" w:cs="Calibri"/>
            <w:noProof/>
            <w:webHidden/>
            <w:szCs w:val="18"/>
          </w:rPr>
          <w:fldChar w:fldCharType="end"/>
        </w:r>
      </w:hyperlink>
    </w:p>
    <w:p w:rsidR="00FB2534" w:rsidRPr="00AC1CBB" w:rsidRDefault="00FB2534">
      <w:pPr>
        <w:pStyle w:val="TableofFigures"/>
        <w:tabs>
          <w:tab w:val="right" w:leader="dot" w:pos="8656"/>
        </w:tabs>
        <w:rPr>
          <w:rFonts w:ascii="Calibri" w:hAnsi="Calibri" w:cs="Calibri"/>
          <w:bCs w:val="0"/>
          <w:noProof/>
          <w:kern w:val="0"/>
          <w:szCs w:val="18"/>
        </w:rPr>
      </w:pPr>
      <w:hyperlink w:anchor="_Toc422133292" w:history="1">
        <w:r w:rsidRPr="00AC1CBB">
          <w:rPr>
            <w:rStyle w:val="Hyperlink"/>
            <w:rFonts w:ascii="Calibri" w:hAnsi="Calibri" w:cs="Calibri"/>
            <w:noProof/>
            <w:sz w:val="18"/>
            <w:szCs w:val="18"/>
          </w:rPr>
          <w:t>Rysunek 18. Emisja zanieczyszczeń powietrza z poszczególnych sektorów w Gminie Wiejskiej Malbork</w:t>
        </w:r>
        <w:r w:rsidRPr="00AC1CBB">
          <w:rPr>
            <w:rFonts w:ascii="Calibri" w:hAnsi="Calibri" w:cs="Calibri"/>
            <w:noProof/>
            <w:webHidden/>
            <w:szCs w:val="18"/>
          </w:rPr>
          <w:tab/>
        </w:r>
        <w:r w:rsidRPr="00AC1CBB">
          <w:rPr>
            <w:rFonts w:ascii="Calibri" w:hAnsi="Calibri" w:cs="Calibri"/>
            <w:noProof/>
            <w:webHidden/>
            <w:szCs w:val="18"/>
          </w:rPr>
          <w:fldChar w:fldCharType="begin"/>
        </w:r>
        <w:r w:rsidRPr="00AC1CBB">
          <w:rPr>
            <w:rFonts w:ascii="Calibri" w:hAnsi="Calibri" w:cs="Calibri"/>
            <w:noProof/>
            <w:webHidden/>
            <w:szCs w:val="18"/>
          </w:rPr>
          <w:instrText xml:space="preserve"> PAGEREF _Toc422133292 \h </w:instrText>
        </w:r>
        <w:r w:rsidRPr="00AC1CBB">
          <w:rPr>
            <w:rFonts w:ascii="Calibri" w:hAnsi="Calibri" w:cs="Calibri"/>
            <w:noProof/>
            <w:webHidden/>
            <w:szCs w:val="18"/>
          </w:rPr>
        </w:r>
        <w:r w:rsidRPr="00AC1CBB">
          <w:rPr>
            <w:rFonts w:ascii="Calibri" w:hAnsi="Calibri" w:cs="Calibri"/>
            <w:noProof/>
            <w:webHidden/>
            <w:szCs w:val="18"/>
          </w:rPr>
          <w:fldChar w:fldCharType="separate"/>
        </w:r>
        <w:r>
          <w:rPr>
            <w:rFonts w:ascii="Calibri" w:hAnsi="Calibri" w:cs="Calibri"/>
            <w:noProof/>
            <w:webHidden/>
            <w:szCs w:val="18"/>
          </w:rPr>
          <w:t>39</w:t>
        </w:r>
        <w:r w:rsidRPr="00AC1CBB">
          <w:rPr>
            <w:rFonts w:ascii="Calibri" w:hAnsi="Calibri" w:cs="Calibri"/>
            <w:noProof/>
            <w:webHidden/>
            <w:szCs w:val="18"/>
          </w:rPr>
          <w:fldChar w:fldCharType="end"/>
        </w:r>
      </w:hyperlink>
    </w:p>
    <w:p w:rsidR="00FB2534" w:rsidRPr="00AC1CBB" w:rsidRDefault="00FB2534" w:rsidP="00F536B9">
      <w:pPr>
        <w:pStyle w:val="GOMnormal"/>
      </w:pPr>
      <w:r w:rsidRPr="00AC1CBB">
        <w:rPr>
          <w:rFonts w:cs="Calibri"/>
          <w:color w:val="339933"/>
          <w:szCs w:val="18"/>
        </w:rPr>
        <w:fldChar w:fldCharType="end"/>
      </w:r>
    </w:p>
    <w:sectPr w:rsidR="00FB2534" w:rsidRPr="00AC1CBB" w:rsidSect="00390985">
      <w:pgSz w:w="11906" w:h="16838" w:code="9"/>
      <w:pgMar w:top="1440" w:right="1440" w:bottom="1440" w:left="1800"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B2534" w:rsidRDefault="00FB2534" w:rsidP="00996401">
      <w:r>
        <w:separator/>
      </w:r>
    </w:p>
  </w:endnote>
  <w:endnote w:type="continuationSeparator" w:id="0">
    <w:p w:rsidR="00FB2534" w:rsidRDefault="00FB2534" w:rsidP="009964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EE"/>
    <w:family w:val="swiss"/>
    <w:pitch w:val="variable"/>
    <w:sig w:usb0="00000287" w:usb1="00000003" w:usb2="00000000" w:usb3="00000000" w:csb0="0000009F" w:csb1="00000000"/>
  </w:font>
  <w:font w:name="Arial">
    <w:panose1 w:val="020B0604020202020204"/>
    <w:charset w:val="EE"/>
    <w:family w:val="swiss"/>
    <w:pitch w:val="variable"/>
    <w:sig w:usb0="E0002AFF" w:usb1="C0007843" w:usb2="00000009" w:usb3="00000000" w:csb0="000001F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00002FF" w:usb1="4000ACFF" w:usb2="00000001" w:usb3="00000000" w:csb0="0000019F" w:csb1="00000000"/>
  </w:font>
  <w:font w:name="Verdana">
    <w:panose1 w:val="020B0604030504040204"/>
    <w:charset w:val="EE"/>
    <w:family w:val="swiss"/>
    <w:pitch w:val="variable"/>
    <w:sig w:usb0="A10006FF" w:usb1="4000205B" w:usb2="00000010" w:usb3="00000000" w:csb0="0000019F" w:csb1="00000000"/>
  </w:font>
  <w:font w:name="TTE16B21B8t00">
    <w:altName w:val="Arial Unicode MS"/>
    <w:panose1 w:val="00000000000000000000"/>
    <w:charset w:val="80"/>
    <w:family w:val="auto"/>
    <w:notTrueType/>
    <w:pitch w:val="default"/>
    <w:sig w:usb0="00000001" w:usb1="08070000" w:usb2="00000010" w:usb3="00000000" w:csb0="00020000" w:csb1="00000000"/>
  </w:font>
  <w:font w:name="Arial Unicode MS">
    <w:panose1 w:val="020B0604020202020204"/>
    <w:charset w:val="80"/>
    <w:family w:val="swiss"/>
    <w:pitch w:val="variable"/>
    <w:sig w:usb0="F7FFAFFF" w:usb1="E9DFFFFF" w:usb2="0000003F" w:usb3="00000000" w:csb0="003F01FF" w:csb1="00000000"/>
  </w:font>
  <w:font w:name="TimesNewRoman">
    <w:altName w:val="Arial Unicode MS"/>
    <w:panose1 w:val="00000000000000000000"/>
    <w:charset w:val="EE"/>
    <w:family w:val="auto"/>
    <w:notTrueType/>
    <w:pitch w:val="default"/>
    <w:sig w:usb0="00000007" w:usb1="00000000" w:usb2="00000000" w:usb3="00000000" w:csb0="00000003" w:csb1="00000000"/>
  </w:font>
  <w:font w:name="Myriad Pro">
    <w:altName w:val="Arial"/>
    <w:panose1 w:val="00000000000000000000"/>
    <w:charset w:val="EE"/>
    <w:family w:val="swiss"/>
    <w:notTrueType/>
    <w:pitch w:val="default"/>
    <w:sig w:usb0="00000007" w:usb1="00000000" w:usb2="00000000" w:usb3="00000000" w:csb0="00000003" w:csb1="00000000"/>
  </w:font>
  <w:font w:name="Georgia">
    <w:panose1 w:val="02040502050405020303"/>
    <w:charset w:val="EE"/>
    <w:family w:val="roman"/>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Default="00FB2534" w:rsidP="00EE2723">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Default="00FB2534" w:rsidP="00EE2723">
    <w:pPr>
      <w:pStyle w:val="Footer"/>
      <w:ind w:right="360"/>
    </w:pPr>
    <w:r w:rsidRPr="00C77850">
      <w:rPr>
        <w:rFonts w:ascii="Cambria" w:hAnsi="Cambria"/>
      </w:rPr>
      <w:fldChar w:fldCharType="begin"/>
    </w:r>
    <w:r w:rsidRPr="00C77850">
      <w:rPr>
        <w:rFonts w:ascii="Cambria" w:hAnsi="Cambria"/>
      </w:rPr>
      <w:instrText xml:space="preserve"> PAGE   \* MERGEFORMAT </w:instrText>
    </w:r>
    <w:r w:rsidRPr="00C77850">
      <w:rPr>
        <w:rFonts w:ascii="Cambria" w:hAnsi="Cambria"/>
      </w:rPr>
      <w:fldChar w:fldCharType="separate"/>
    </w:r>
    <w:r w:rsidRPr="00AC4606">
      <w:rPr>
        <w:rFonts w:ascii="Cambria" w:hAnsi="Cambria"/>
        <w:b/>
        <w:noProof/>
      </w:rPr>
      <w:t>2</w:t>
    </w:r>
    <w:r w:rsidRPr="00C77850">
      <w:rPr>
        <w:rFonts w:ascii="Cambria" w:hAnsi="Cambria"/>
      </w:rPr>
      <w:fldChar w:fldCharType="end"/>
    </w:r>
    <w:r w:rsidRPr="00C77850">
      <w:rPr>
        <w:rFonts w:ascii="Cambria" w:hAnsi="Cambria"/>
        <w:b/>
      </w:rPr>
      <w:t xml:space="preserve"> | </w:t>
    </w:r>
    <w:r w:rsidRPr="00BF1809">
      <w:rPr>
        <w:rFonts w:ascii="Cambria" w:hAnsi="Cambria"/>
        <w:b/>
        <w:color w:val="002060"/>
        <w:spacing w:val="60"/>
      </w:rPr>
      <w:t>Strona</w:t>
    </w:r>
    <w:r>
      <w:rPr>
        <w:rFonts w:ascii="Cambria" w:hAnsi="Cambria"/>
      </w:rPr>
      <w:tab/>
      <w:t>ATMOTERM S.A. 2015</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Default="00FB2534" w:rsidP="00C77850">
    <w:pPr>
      <w:pStyle w:val="Footer"/>
      <w:jc w:val="right"/>
    </w:pPr>
    <w:r w:rsidRPr="00C77850">
      <w:rPr>
        <w:rFonts w:ascii="Cambria" w:hAnsi="Cambria"/>
      </w:rPr>
      <w:t>ATMOTERM S.A. 201</w:t>
    </w:r>
    <w:r>
      <w:rPr>
        <w:rFonts w:ascii="Cambria" w:hAnsi="Cambria"/>
      </w:rPr>
      <w:t>5</w:t>
    </w:r>
    <w:r>
      <w:tab/>
    </w:r>
    <w:r w:rsidRPr="00BF1809">
      <w:rPr>
        <w:rFonts w:ascii="Cambria" w:hAnsi="Cambria"/>
        <w:b/>
        <w:color w:val="002060"/>
        <w:spacing w:val="60"/>
      </w:rPr>
      <w:t>Strona</w:t>
    </w:r>
    <w:r>
      <w:t xml:space="preserve"> | </w:t>
    </w:r>
    <w:r>
      <w:fldChar w:fldCharType="begin"/>
    </w:r>
    <w:r>
      <w:instrText xml:space="preserve"> PAGE   \* MERGEFORMAT </w:instrText>
    </w:r>
    <w:r>
      <w:fldChar w:fldCharType="separate"/>
    </w:r>
    <w:r w:rsidRPr="00AC4606">
      <w:rPr>
        <w:b/>
        <w:noProof/>
      </w:rPr>
      <w:t>1</w:t>
    </w:r>
    <w:r>
      <w:fldChar w:fldCharType="end"/>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Default="00FB2534" w:rsidP="00EE2723">
    <w:pPr>
      <w:pStyle w:val="Footer"/>
      <w:ind w:right="360"/>
    </w:pPr>
    <w:r w:rsidRPr="00C77850">
      <w:rPr>
        <w:rFonts w:ascii="Cambria" w:hAnsi="Cambria"/>
      </w:rPr>
      <w:fldChar w:fldCharType="begin"/>
    </w:r>
    <w:r w:rsidRPr="00C77850">
      <w:rPr>
        <w:rFonts w:ascii="Cambria" w:hAnsi="Cambria"/>
      </w:rPr>
      <w:instrText xml:space="preserve"> PAGE   \* MERGEFORMAT </w:instrText>
    </w:r>
    <w:r w:rsidRPr="00C77850">
      <w:rPr>
        <w:rFonts w:ascii="Cambria" w:hAnsi="Cambria"/>
      </w:rPr>
      <w:fldChar w:fldCharType="separate"/>
    </w:r>
    <w:r w:rsidRPr="00AC4606">
      <w:rPr>
        <w:rFonts w:ascii="Cambria" w:hAnsi="Cambria"/>
        <w:b/>
        <w:noProof/>
      </w:rPr>
      <w:t>44</w:t>
    </w:r>
    <w:r w:rsidRPr="00C77850">
      <w:rPr>
        <w:rFonts w:ascii="Cambria" w:hAnsi="Cambria"/>
      </w:rPr>
      <w:fldChar w:fldCharType="end"/>
    </w:r>
    <w:r w:rsidRPr="00C77850">
      <w:rPr>
        <w:rFonts w:ascii="Cambria" w:hAnsi="Cambria"/>
        <w:b/>
      </w:rPr>
      <w:t xml:space="preserve"> | </w:t>
    </w:r>
    <w:r w:rsidRPr="00BF1809">
      <w:rPr>
        <w:rFonts w:ascii="Cambria" w:hAnsi="Cambria"/>
        <w:b/>
        <w:color w:val="002060"/>
        <w:spacing w:val="60"/>
      </w:rPr>
      <w:t>Strona</w:t>
    </w:r>
    <w:r>
      <w:rPr>
        <w:rFonts w:ascii="Cambria" w:hAnsi="Cambria"/>
      </w:rPr>
      <w:tab/>
      <w:t>ATMOTERM S.A. 2015</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Default="00FB2534" w:rsidP="00C77850">
    <w:pPr>
      <w:pStyle w:val="Footer"/>
      <w:jc w:val="right"/>
    </w:pPr>
    <w:r w:rsidRPr="00C77850">
      <w:rPr>
        <w:rFonts w:ascii="Cambria" w:hAnsi="Cambria"/>
      </w:rPr>
      <w:t>ATMOTERM S.A. 201</w:t>
    </w:r>
    <w:r>
      <w:rPr>
        <w:rFonts w:ascii="Cambria" w:hAnsi="Cambria"/>
      </w:rPr>
      <w:t>5</w:t>
    </w:r>
    <w:r>
      <w:tab/>
    </w:r>
    <w:r w:rsidRPr="00BF1809">
      <w:rPr>
        <w:rFonts w:ascii="Cambria" w:hAnsi="Cambria"/>
        <w:b/>
        <w:color w:val="002060"/>
        <w:spacing w:val="60"/>
      </w:rPr>
      <w:t>Strona</w:t>
    </w:r>
    <w:r>
      <w:t xml:space="preserve"> | </w:t>
    </w:r>
    <w:r>
      <w:fldChar w:fldCharType="begin"/>
    </w:r>
    <w:r>
      <w:instrText xml:space="preserve"> PAGE   \* MERGEFORMAT </w:instrText>
    </w:r>
    <w:r>
      <w:fldChar w:fldCharType="separate"/>
    </w:r>
    <w:r w:rsidRPr="00AC4606">
      <w:rPr>
        <w:b/>
        <w:noProof/>
      </w:rPr>
      <w:t>43</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B2534" w:rsidRDefault="00FB2534" w:rsidP="00996401">
      <w:r>
        <w:separator/>
      </w:r>
    </w:p>
  </w:footnote>
  <w:footnote w:type="continuationSeparator" w:id="0">
    <w:p w:rsidR="00FB2534" w:rsidRDefault="00FB2534" w:rsidP="00996401">
      <w:r>
        <w:continuationSeparator/>
      </w:r>
    </w:p>
  </w:footnote>
  <w:footnote w:id="1">
    <w:p w:rsidR="00FB2534" w:rsidRDefault="00FB2534" w:rsidP="00EE1860">
      <w:pPr>
        <w:pStyle w:val="FootnoteText"/>
      </w:pPr>
      <w:r w:rsidRPr="00AC1CBB">
        <w:rPr>
          <w:rStyle w:val="FootnoteReference"/>
          <w:rFonts w:ascii="Calibri" w:hAnsi="Calibri"/>
        </w:rPr>
        <w:footnoteRef/>
      </w:r>
      <w:r w:rsidRPr="00AC1CBB">
        <w:rPr>
          <w:rFonts w:ascii="Calibri" w:hAnsi="Calibri"/>
        </w:rPr>
        <w:t xml:space="preserve"> Ryszard Musiał: Aktualizacja projektu założeń do planu zaopatrzenia w ciepło, energię elektryczną i paliwa gazowe gminy Malbork; Gdańsk 2014</w:t>
      </w:r>
    </w:p>
  </w:footnote>
  <w:footnote w:id="2">
    <w:p w:rsidR="00FB2534" w:rsidRDefault="00FB2534" w:rsidP="00556E18">
      <w:pPr>
        <w:pStyle w:val="FootnoteText"/>
      </w:pPr>
      <w:r w:rsidRPr="00AC1CBB">
        <w:rPr>
          <w:rStyle w:val="FootnoteReference"/>
          <w:rFonts w:ascii="Calibri" w:hAnsi="Calibri"/>
        </w:rPr>
        <w:footnoteRef/>
      </w:r>
      <w:r w:rsidRPr="00AC1CBB">
        <w:rPr>
          <w:rFonts w:ascii="Calibri" w:hAnsi="Calibri"/>
        </w:rPr>
        <w:t xml:space="preserve"> ATMOTERM S.A.: Program ochrony powietrza dla strefy pomorskiej, w której został przekroczony poziom dopuszczalny pyłu zawieszonego PM10 oraz poziom docelowy benzo(a)pirenu; Gdańsk 2013(przyjęty Uchwałą Nr 754/XXXV/13 Sejmiku województwa Pomorskiego z dnia 25 listopada 2013 r.)</w:t>
      </w:r>
    </w:p>
  </w:footnote>
  <w:footnote w:id="3">
    <w:p w:rsidR="00FB2534" w:rsidRDefault="00FB2534" w:rsidP="00EE1860">
      <w:pPr>
        <w:pStyle w:val="FootnoteText"/>
      </w:pPr>
      <w:r w:rsidRPr="00AC1CBB">
        <w:rPr>
          <w:rStyle w:val="FootnoteReference"/>
          <w:rFonts w:ascii="Calibri" w:hAnsi="Calibri"/>
        </w:rPr>
        <w:footnoteRef/>
      </w:r>
      <w:r w:rsidRPr="00AC1CBB">
        <w:rPr>
          <w:rFonts w:ascii="Calibri" w:hAnsi="Calibri"/>
        </w:rPr>
        <w:t xml:space="preserve"> Zestaw dyrektyw i decyzji określających cele UE, jak i zobowiązania dla poszczególnych krajów dla ich realizacji</w:t>
      </w:r>
    </w:p>
  </w:footnote>
  <w:footnote w:id="4">
    <w:p w:rsidR="00FB2534" w:rsidRDefault="00FB2534" w:rsidP="00EE1860">
      <w:pPr>
        <w:pStyle w:val="FootnoteText"/>
      </w:pPr>
      <w:r>
        <w:rPr>
          <w:rStyle w:val="FootnoteReference"/>
        </w:rPr>
        <w:footnoteRef/>
      </w:r>
      <w:r>
        <w:t xml:space="preserve"> </w:t>
      </w:r>
      <w:r w:rsidRPr="00AC1CBB">
        <w:rPr>
          <w:rFonts w:ascii="Calibri" w:hAnsi="Calibri"/>
          <w:szCs w:val="18"/>
        </w:rPr>
        <w:t>http://www.mg.gov.pl/files/upload/10460/NPRGN.pdf</w:t>
      </w:r>
    </w:p>
  </w:footnote>
  <w:footnote w:id="5">
    <w:p w:rsidR="00FB2534" w:rsidRDefault="00FB2534" w:rsidP="00670A55">
      <w:pPr>
        <w:pStyle w:val="GOMprzypis"/>
      </w:pPr>
      <w:r>
        <w:rPr>
          <w:rStyle w:val="FootnoteReference"/>
        </w:rPr>
        <w:footnoteRef/>
      </w:r>
      <w:r w:rsidRPr="00AD27BC">
        <w:rPr>
          <w:rStyle w:val="FootnoteReference"/>
        </w:rPr>
        <w:t xml:space="preserve"> </w:t>
      </w:r>
      <w:r w:rsidRPr="00AD27BC">
        <w:rPr>
          <w:rStyle w:val="GOMprzypisZnak"/>
        </w:rPr>
        <w:t>Źródło</w:t>
      </w:r>
      <w:r w:rsidRPr="00AD27BC">
        <w:rPr>
          <w:rStyle w:val="FootnoteReference"/>
          <w:vertAlign w:val="baseline"/>
        </w:rPr>
        <w:t>: Założenia do planu zaopatrzenia w ciepło, energię elektryczną i paliwa gazowe gminy Malbork</w:t>
      </w:r>
    </w:p>
  </w:footnote>
  <w:footnote w:id="6">
    <w:p w:rsidR="00FB2534" w:rsidRDefault="00FB2534" w:rsidP="00C148A4">
      <w:pPr>
        <w:pStyle w:val="GOMprzypis"/>
      </w:pPr>
      <w:r>
        <w:rPr>
          <w:rStyle w:val="FootnoteReference"/>
        </w:rPr>
        <w:footnoteRef/>
      </w:r>
      <w:r>
        <w:t xml:space="preserve"> Źródło: </w:t>
      </w:r>
      <w:r w:rsidRPr="00607582">
        <w:t>Bank Danych Lokalnych za 2013 r. (Zasoby mieszkaniowe ogółem)</w:t>
      </w:r>
    </w:p>
  </w:footnote>
  <w:footnote w:id="7">
    <w:p w:rsidR="00FB2534" w:rsidRDefault="00FB2534" w:rsidP="0074203D">
      <w:pPr>
        <w:pStyle w:val="FootnoteText"/>
      </w:pPr>
      <w:r>
        <w:rPr>
          <w:rStyle w:val="FootnoteReference"/>
        </w:rPr>
        <w:footnoteRef/>
      </w:r>
      <w:r>
        <w:t xml:space="preserve"> </w:t>
      </w:r>
      <w:r>
        <w:rPr>
          <w:rStyle w:val="GOMprzypisZnak"/>
        </w:rPr>
        <w:t>Źródło:</w:t>
      </w:r>
      <w:r>
        <w:t xml:space="preserve"> </w:t>
      </w:r>
      <w:r>
        <w:rPr>
          <w:rStyle w:val="GOMprzypisZnak"/>
        </w:rPr>
        <w:t>Roczna ocena jakości powietrza w województwie pomorskim. Raport za rok 2013. WIOŚ w Gdańsku</w:t>
      </w:r>
    </w:p>
  </w:footnote>
  <w:footnote w:id="8">
    <w:p w:rsidR="00FB2534" w:rsidRDefault="00FB2534" w:rsidP="0074203D">
      <w:pPr>
        <w:pStyle w:val="FootnoteText"/>
      </w:pPr>
      <w:r>
        <w:rPr>
          <w:rStyle w:val="FootnoteReference"/>
        </w:rPr>
        <w:footnoteRef/>
      </w:r>
      <w:r>
        <w:t xml:space="preserve"> </w:t>
      </w:r>
      <w:r>
        <w:rPr>
          <w:rStyle w:val="GOMprzypisZnak"/>
        </w:rPr>
        <w:t>Źródło:</w:t>
      </w:r>
      <w:r>
        <w:t xml:space="preserve"> </w:t>
      </w:r>
      <w:r>
        <w:rPr>
          <w:rStyle w:val="GOMprzypisZnak"/>
        </w:rPr>
        <w:t>Roczna ocena jakości powietrza w województwie pomorskim. Raport za 2014 rok. WIOŚ w Gdańsku</w:t>
      </w:r>
    </w:p>
  </w:footnote>
  <w:footnote w:id="9">
    <w:p w:rsidR="00FB2534" w:rsidRDefault="00FB2534" w:rsidP="00670A55">
      <w:pPr>
        <w:pStyle w:val="GOMprzypis"/>
      </w:pPr>
      <w:r>
        <w:rPr>
          <w:rStyle w:val="FootnoteReference"/>
        </w:rPr>
        <w:footnoteRef/>
      </w:r>
      <w:r>
        <w:t xml:space="preserve"> „Roczna ocena jakości powietrza województwa pomorskiego w 2012 r.”, WIOŚ Gdańsk, 2013</w:t>
      </w:r>
    </w:p>
  </w:footnote>
  <w:footnote w:id="10">
    <w:p w:rsidR="00FB2534" w:rsidRDefault="00FB2534" w:rsidP="00670A55">
      <w:pPr>
        <w:pStyle w:val="GOMprzypis"/>
      </w:pPr>
      <w:r w:rsidRPr="005053A8">
        <w:rPr>
          <w:rStyle w:val="FootnoteReference"/>
        </w:rPr>
        <w:footnoteRef/>
      </w:r>
      <w:r w:rsidRPr="005053A8">
        <w:rPr>
          <w:rStyle w:val="FootnoteReference"/>
          <w:vertAlign w:val="baseline"/>
        </w:rPr>
        <w:t xml:space="preserve"> </w:t>
      </w:r>
      <w:r>
        <w:t>„</w:t>
      </w:r>
      <w:r>
        <w:rPr>
          <w:rStyle w:val="FootnoteReference"/>
          <w:vertAlign w:val="baseline"/>
        </w:rPr>
        <w:t>Program</w:t>
      </w:r>
      <w:r w:rsidRPr="005053A8">
        <w:rPr>
          <w:rStyle w:val="FootnoteReference"/>
          <w:vertAlign w:val="baseline"/>
        </w:rPr>
        <w:t xml:space="preserve"> ochrony powietrza dla strefy pomorskiej</w:t>
      </w:r>
      <w:r>
        <w:t xml:space="preserve">” </w:t>
      </w:r>
    </w:p>
  </w:footnote>
  <w:footnote w:id="11">
    <w:p w:rsidR="00FB2534" w:rsidRDefault="00FB2534" w:rsidP="00670A55">
      <w:pPr>
        <w:pStyle w:val="GOMprzypis"/>
      </w:pPr>
      <w:r>
        <w:rPr>
          <w:rStyle w:val="FootnoteReference"/>
        </w:rPr>
        <w:footnoteRef/>
      </w:r>
      <w:r>
        <w:t xml:space="preserve"> Źródło. GUS 2013 r.</w:t>
      </w:r>
    </w:p>
  </w:footnote>
  <w:footnote w:id="12">
    <w:p w:rsidR="00FB2534" w:rsidRDefault="00FB2534" w:rsidP="00670A55">
      <w:pPr>
        <w:pStyle w:val="GOMprzypis"/>
      </w:pPr>
      <w:r>
        <w:rPr>
          <w:rStyle w:val="FootnoteReference"/>
        </w:rPr>
        <w:footnoteRef/>
      </w:r>
      <w:r>
        <w:t xml:space="preserve"> Źródło: </w:t>
      </w:r>
      <w:r w:rsidRPr="00E23E2A">
        <w:t>http://gmina.malbork.pl/category/gospodarka-odpadami/</w:t>
      </w:r>
    </w:p>
  </w:footnote>
  <w:footnote w:id="13">
    <w:p w:rsidR="00FB2534" w:rsidRDefault="00FB2534" w:rsidP="00E53A06">
      <w:pPr>
        <w:pStyle w:val="GOMprzypis"/>
      </w:pPr>
      <w:r>
        <w:rPr>
          <w:rStyle w:val="FootnoteReference"/>
        </w:rPr>
        <w:footnoteRef/>
      </w:r>
      <w:r w:rsidRPr="006E4171">
        <w:rPr>
          <w:lang w:val="en-GB"/>
        </w:rPr>
        <w:t xml:space="preserve"> Good Practice Guidance for for Land Use, Land-Use Change and Forestry, Institute for Global Environmental Strategies (IGES) for the IPCC, 2003</w:t>
      </w:r>
    </w:p>
  </w:footnote>
  <w:footnote w:id="14">
    <w:p w:rsidR="00FB2534" w:rsidRDefault="00FB2534">
      <w:pPr>
        <w:pStyle w:val="FootnoteText"/>
      </w:pPr>
      <w:r w:rsidRPr="00AC1CBB">
        <w:rPr>
          <w:rStyle w:val="FootnoteReference"/>
          <w:rFonts w:ascii="Calibri" w:hAnsi="Calibri"/>
        </w:rPr>
        <w:footnoteRef/>
      </w:r>
      <w:r w:rsidRPr="00AC1CBB">
        <w:rPr>
          <w:rFonts w:ascii="Calibri" w:hAnsi="Calibri"/>
        </w:rPr>
        <w:t xml:space="preserve"> źródło: opracowanie własne na podstawie Bazy Danych PGN GOM</w:t>
      </w:r>
    </w:p>
  </w:footnote>
  <w:footnote w:id="15">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16">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17">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18">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19">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0">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1">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2">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23">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24">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5">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26">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7">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8">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29">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30">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31">
    <w:p w:rsidR="00FB2534" w:rsidRDefault="00FB2534">
      <w:pPr>
        <w:pStyle w:val="FootnoteText"/>
      </w:pPr>
      <w:r w:rsidRPr="00AC1CBB">
        <w:rPr>
          <w:rStyle w:val="FootnoteReference"/>
          <w:rFonts w:ascii="Calibri" w:hAnsi="Calibri"/>
        </w:rPr>
        <w:footnoteRef/>
      </w:r>
      <w:r w:rsidRPr="00AC1CBB">
        <w:rPr>
          <w:rFonts w:ascii="Calibri" w:hAnsi="Calibri"/>
        </w:rPr>
        <w:t xml:space="preserve"> źródło: dane GUS za 2013 r. oraz dane ze sprawozdań o sposobie gospodarowania odpadami komunalnym przedkładanych przez Gminę do Marszałka Województwa Pomorskiego za 2013 r.</w:t>
      </w:r>
    </w:p>
  </w:footnote>
  <w:footnote w:id="32">
    <w:p w:rsidR="00FB2534" w:rsidRDefault="00FB2534">
      <w:pPr>
        <w:pStyle w:val="FootnoteText"/>
      </w:pPr>
      <w:r w:rsidRPr="00AC1CBB">
        <w:rPr>
          <w:rStyle w:val="FootnoteReference"/>
          <w:rFonts w:ascii="Calibri" w:hAnsi="Calibri"/>
        </w:rPr>
        <w:footnoteRef/>
      </w:r>
      <w:r>
        <w:t xml:space="preserve"> </w:t>
      </w:r>
      <w:r w:rsidRPr="00AC1CBB">
        <w:rPr>
          <w:rFonts w:ascii="Calibri" w:hAnsi="Calibri"/>
        </w:rPr>
        <w:t>źródło: opracowanie własne na podstawie Bazy Danych PGN GOM</w:t>
      </w:r>
    </w:p>
  </w:footnote>
  <w:footnote w:id="33">
    <w:p w:rsidR="00FB2534" w:rsidRDefault="00FB2534">
      <w:pPr>
        <w:pStyle w:val="FootnoteText"/>
      </w:pPr>
      <w:r w:rsidRPr="00AC1CBB">
        <w:rPr>
          <w:rStyle w:val="FootnoteReference"/>
          <w:rFonts w:ascii="Calibri" w:hAnsi="Calibri"/>
        </w:rPr>
        <w:footnoteRef/>
      </w:r>
      <w:r w:rsidRPr="00AC1CBB">
        <w:rPr>
          <w:rStyle w:val="FootnoteReference"/>
          <w:rFonts w:ascii="Calibri" w:hAnsi="Calibri"/>
        </w:rPr>
        <w:t xml:space="preserve"> </w:t>
      </w:r>
      <w:r w:rsidRPr="00AC1CBB">
        <w:rPr>
          <w:rFonts w:ascii="Calibri" w:hAnsi="Calibri"/>
        </w:rPr>
        <w:t>źródło: opracowanie własne na podstawie Bazy Danych PGN GOM</w:t>
      </w:r>
    </w:p>
  </w:footnote>
  <w:footnote w:id="34">
    <w:p w:rsidR="00FB2534" w:rsidRDefault="00FB2534">
      <w:pPr>
        <w:pStyle w:val="FootnoteText"/>
      </w:pPr>
      <w:r w:rsidRPr="00AC1CBB">
        <w:rPr>
          <w:rStyle w:val="FootnoteReference"/>
          <w:rFonts w:ascii="Calibri" w:hAnsi="Calibri"/>
        </w:rPr>
        <w:footnoteRef/>
      </w:r>
      <w:r w:rsidRPr="00AC1CBB">
        <w:rPr>
          <w:rFonts w:ascii="Calibri" w:hAnsi="Calibri"/>
        </w:rPr>
        <w:t xml:space="preserve"> źródło: opracowanie własne na podstawie Bazy Danych PGN GOM</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Pr="006F039E" w:rsidRDefault="00FB2534" w:rsidP="00E20693">
    <w:pPr>
      <w:pStyle w:val="Header"/>
      <w:rPr>
        <w:rFonts w:ascii="Georgia" w:hAnsi="Georgia"/>
        <w:i/>
        <w:color w:val="333366"/>
        <w:sz w:val="18"/>
        <w:szCs w:val="18"/>
      </w:rPr>
    </w:pPr>
    <w:r>
      <w:rPr>
        <w:rFonts w:ascii="Georgia" w:hAnsi="Georgia"/>
        <w:i/>
        <w:color w:val="333366"/>
        <w:sz w:val="18"/>
        <w:szCs w:val="18"/>
      </w:rPr>
      <w:t>Program ochrony powietrza dla stref województwa śląskiego, w których stwierdzone zostały ponadnormatywne poziomy substancji w powietrzu</w:t>
    </w:r>
  </w:p>
  <w:p w:rsidR="00FB2534" w:rsidRPr="00E20693" w:rsidRDefault="00FB2534">
    <w:pPr>
      <w:pStyle w:val="Header"/>
      <w:rPr>
        <w:rFonts w:ascii="Georgia" w:hAnsi="Georgia"/>
        <w:i/>
        <w:color w:val="333366"/>
        <w:sz w:val="18"/>
        <w:szCs w:val="18"/>
      </w:rPr>
    </w:pPr>
    <w:r>
      <w:rPr>
        <w:noProof/>
      </w:rPr>
      <w:pict>
        <v:line id="_x0000_s2049" style="position:absolute;z-index:-251660800" from="-5.25pt,6.65pt" to="461.05pt,6.65pt" strokecolor="#5c5c85" strokeweight=".11mm">
          <v:stroke color2="#a3a37a" joinstyle="miter"/>
        </v:lin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Pr="00AC1CBB" w:rsidRDefault="00FB2534" w:rsidP="00124708">
    <w:pPr>
      <w:pStyle w:val="Header"/>
      <w:jc w:val="center"/>
      <w:rPr>
        <w:rFonts w:ascii="Calibri" w:hAnsi="Calibri"/>
        <w:i/>
        <w:color w:val="000000"/>
        <w:sz w:val="18"/>
        <w:szCs w:val="18"/>
      </w:rPr>
    </w:pPr>
    <w:r w:rsidRPr="00AC1CBB">
      <w:rPr>
        <w:rFonts w:ascii="Calibri" w:hAnsi="Calibri"/>
        <w:i/>
        <w:color w:val="000000"/>
        <w:sz w:val="18"/>
        <w:szCs w:val="18"/>
      </w:rPr>
      <w:t>Projekt PGN dla Gminy Wiejskiej Malbork</w:t>
    </w:r>
  </w:p>
  <w:p w:rsidR="00FB2534" w:rsidRPr="00AC1CBB" w:rsidRDefault="00FB2534" w:rsidP="00124708">
    <w:pPr>
      <w:pStyle w:val="Header"/>
      <w:jc w:val="center"/>
      <w:rPr>
        <w:rFonts w:ascii="Calibri" w:hAnsi="Calibri"/>
        <w:i/>
        <w:color w:val="000000"/>
        <w:sz w:val="18"/>
        <w:szCs w:val="18"/>
      </w:rPr>
    </w:pPr>
  </w:p>
  <w:p w:rsidR="00FB2534" w:rsidRPr="00E20693" w:rsidRDefault="00FB2534" w:rsidP="00C77850">
    <w:pPr>
      <w:pStyle w:val="Header"/>
      <w:rPr>
        <w:rFonts w:ascii="Georgia" w:hAnsi="Georgia"/>
        <w:i/>
        <w:color w:val="333366"/>
        <w:sz w:val="18"/>
        <w:szCs w:val="18"/>
      </w:rPr>
    </w:pPr>
    <w:r>
      <w:rPr>
        <w:noProof/>
      </w:rPr>
      <w:pict>
        <v:line id="_x0000_s2050" style="position:absolute;z-index:-251658752" from="-5.4pt,6.5pt" to="460.9pt,6.5pt" strokeweight=".31pt">
          <v:stroke color2="#a3a37a" joinstyle="miter"/>
        </v:line>
      </w:pict>
    </w:r>
  </w:p>
  <w:p w:rsidR="00FB2534" w:rsidRDefault="00FB2534">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Pr="00AC1CBB" w:rsidRDefault="00FB2534" w:rsidP="00124708">
    <w:pPr>
      <w:pStyle w:val="Header"/>
      <w:jc w:val="center"/>
      <w:rPr>
        <w:rFonts w:ascii="Calibri" w:hAnsi="Calibri"/>
        <w:i/>
        <w:color w:val="000000"/>
        <w:sz w:val="18"/>
        <w:szCs w:val="18"/>
      </w:rPr>
    </w:pPr>
    <w:r w:rsidRPr="00AC1CBB">
      <w:rPr>
        <w:rFonts w:ascii="Calibri" w:hAnsi="Calibri"/>
        <w:i/>
        <w:color w:val="000000"/>
        <w:sz w:val="18"/>
        <w:szCs w:val="18"/>
      </w:rPr>
      <w:t>Projekt PGN dla Gminy Wiejskiej Malbork</w:t>
    </w:r>
  </w:p>
  <w:p w:rsidR="00FB2534" w:rsidRPr="00AC1CBB" w:rsidRDefault="00FB2534" w:rsidP="00124708">
    <w:pPr>
      <w:pStyle w:val="Header"/>
      <w:jc w:val="center"/>
      <w:rPr>
        <w:rFonts w:ascii="Calibri" w:hAnsi="Calibri"/>
        <w:i/>
        <w:color w:val="000000"/>
        <w:sz w:val="18"/>
        <w:szCs w:val="18"/>
      </w:rPr>
    </w:pPr>
  </w:p>
  <w:p w:rsidR="00FB2534" w:rsidRPr="00E20693" w:rsidRDefault="00FB2534" w:rsidP="00860EC0">
    <w:pPr>
      <w:pStyle w:val="Header"/>
      <w:rPr>
        <w:rFonts w:ascii="Georgia" w:hAnsi="Georgia"/>
        <w:i/>
        <w:color w:val="333366"/>
        <w:sz w:val="18"/>
        <w:szCs w:val="18"/>
      </w:rPr>
    </w:pPr>
    <w:r>
      <w:rPr>
        <w:noProof/>
      </w:rPr>
      <w:pict>
        <v:line id="_x0000_s2051" style="position:absolute;z-index:-251659776" from="-5.4pt,6.5pt" to="460.9pt,6.5pt" strokeweight=".31pt">
          <v:stroke color2="#a3a37a" joinstyle="miter"/>
        </v:line>
      </w:pict>
    </w:r>
  </w:p>
  <w:p w:rsidR="00FB2534" w:rsidRPr="00860EC0" w:rsidRDefault="00FB2534" w:rsidP="00860EC0">
    <w:pPr>
      <w:pStyle w:val="Header"/>
      <w:rPr>
        <w:szCs w:val="18"/>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Pr="00AC1CBB" w:rsidRDefault="00FB2534" w:rsidP="00124708">
    <w:pPr>
      <w:pStyle w:val="Header"/>
      <w:jc w:val="center"/>
      <w:rPr>
        <w:rFonts w:ascii="Calibri" w:hAnsi="Calibri"/>
        <w:i/>
        <w:color w:val="000000"/>
        <w:sz w:val="18"/>
        <w:szCs w:val="18"/>
      </w:rPr>
    </w:pPr>
    <w:r w:rsidRPr="00AC1CBB">
      <w:rPr>
        <w:rFonts w:ascii="Calibri" w:hAnsi="Calibri"/>
        <w:i/>
        <w:color w:val="000000"/>
        <w:sz w:val="18"/>
        <w:szCs w:val="18"/>
      </w:rPr>
      <w:t>Projekt PGN dla Gminy Wiejskiej Malbork</w:t>
    </w:r>
  </w:p>
  <w:p w:rsidR="00FB2534" w:rsidRPr="00AC1CBB" w:rsidRDefault="00FB2534" w:rsidP="00124708">
    <w:pPr>
      <w:pStyle w:val="Header"/>
      <w:jc w:val="center"/>
      <w:rPr>
        <w:rFonts w:ascii="Calibri" w:hAnsi="Calibri"/>
        <w:i/>
        <w:color w:val="000000"/>
        <w:sz w:val="18"/>
        <w:szCs w:val="18"/>
      </w:rPr>
    </w:pPr>
  </w:p>
  <w:p w:rsidR="00FB2534" w:rsidRPr="00E20693" w:rsidRDefault="00FB2534" w:rsidP="00C77850">
    <w:pPr>
      <w:pStyle w:val="Header"/>
      <w:rPr>
        <w:rFonts w:ascii="Georgia" w:hAnsi="Georgia"/>
        <w:i/>
        <w:color w:val="333366"/>
        <w:sz w:val="18"/>
        <w:szCs w:val="18"/>
      </w:rPr>
    </w:pPr>
    <w:r>
      <w:rPr>
        <w:noProof/>
      </w:rPr>
      <w:pict>
        <v:line id="Line 6" o:spid="_x0000_s2052" style="position:absolute;z-index:-251656704;visibility:visible" from="-5.4pt,6.5pt" to="460.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" strokeweight=".31pt">
          <v:stroke joinstyle="miter"/>
        </v:line>
      </w:pict>
    </w:r>
  </w:p>
  <w:p w:rsidR="00FB2534" w:rsidRDefault="00FB2534">
    <w:pPr>
      <w:pStyle w:val="Header"/>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2534" w:rsidRPr="00AC1CBB" w:rsidRDefault="00FB2534" w:rsidP="00124708">
    <w:pPr>
      <w:pStyle w:val="Header"/>
      <w:jc w:val="center"/>
      <w:rPr>
        <w:rFonts w:ascii="Calibri" w:hAnsi="Calibri"/>
        <w:i/>
        <w:color w:val="000000"/>
        <w:sz w:val="18"/>
        <w:szCs w:val="18"/>
      </w:rPr>
    </w:pPr>
    <w:r w:rsidRPr="00AC1CBB">
      <w:rPr>
        <w:rFonts w:ascii="Calibri" w:hAnsi="Calibri"/>
        <w:i/>
        <w:color w:val="000000"/>
        <w:sz w:val="18"/>
        <w:szCs w:val="18"/>
      </w:rPr>
      <w:t>Projekt PGN dla Gminy Wiejskiej Malbork</w:t>
    </w:r>
  </w:p>
  <w:p w:rsidR="00FB2534" w:rsidRPr="00AC1CBB" w:rsidRDefault="00FB2534" w:rsidP="00124708">
    <w:pPr>
      <w:pStyle w:val="Header"/>
      <w:jc w:val="center"/>
      <w:rPr>
        <w:rFonts w:ascii="Calibri" w:hAnsi="Calibri"/>
        <w:i/>
        <w:color w:val="000000"/>
        <w:sz w:val="18"/>
        <w:szCs w:val="18"/>
      </w:rPr>
    </w:pPr>
  </w:p>
  <w:p w:rsidR="00FB2534" w:rsidRPr="00E20693" w:rsidRDefault="00FB2534" w:rsidP="00860EC0">
    <w:pPr>
      <w:pStyle w:val="Header"/>
      <w:rPr>
        <w:rFonts w:ascii="Georgia" w:hAnsi="Georgia"/>
        <w:i/>
        <w:color w:val="333366"/>
        <w:sz w:val="18"/>
        <w:szCs w:val="18"/>
      </w:rPr>
    </w:pPr>
    <w:r>
      <w:rPr>
        <w:noProof/>
      </w:rPr>
      <w:pict>
        <v:line id="Line 5" o:spid="_x0000_s2053" style="position:absolute;z-index:-251657728;visibility:visible" from="-5.4pt,6.5pt" to="460.9pt,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" strokeweight=".31pt">
          <v:stroke joinstyle="miter"/>
        </v:line>
      </w:pict>
    </w:r>
  </w:p>
  <w:p w:rsidR="00FB2534" w:rsidRPr="00860EC0" w:rsidRDefault="00FB2534" w:rsidP="00860EC0">
    <w:pPr>
      <w:pStyle w:val="Header"/>
      <w:rPr>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102497CE"/>
    <w:lvl w:ilvl="0">
      <w:start w:val="1"/>
      <w:numFmt w:val="bullet"/>
      <w:lvlText w:val=""/>
      <w:lvlJc w:val="left"/>
      <w:pPr>
        <w:tabs>
          <w:tab w:val="num" w:pos="360"/>
        </w:tabs>
        <w:ind w:left="360" w:hanging="360"/>
      </w:pPr>
      <w:rPr>
        <w:rFonts w:ascii="Symbol" w:hAnsi="Symbol" w:hint="default"/>
      </w:rPr>
    </w:lvl>
  </w:abstractNum>
  <w:abstractNum w:abstractNumId="1">
    <w:nsid w:val="02D97388"/>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2">
    <w:nsid w:val="095D74E2"/>
    <w:multiLevelType w:val="hybridMultilevel"/>
    <w:tmpl w:val="B77EEF78"/>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nsid w:val="0CE90A23"/>
    <w:multiLevelType w:val="hybridMultilevel"/>
    <w:tmpl w:val="1F206A84"/>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0E377E20"/>
    <w:multiLevelType w:val="hybridMultilevel"/>
    <w:tmpl w:val="AAA887EE"/>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5">
    <w:nsid w:val="0EE763C7"/>
    <w:multiLevelType w:val="hybridMultilevel"/>
    <w:tmpl w:val="3A6A3C36"/>
    <w:lvl w:ilvl="0" w:tplc="FFFFFFFF">
      <w:start w:val="1"/>
      <w:numFmt w:val="bullet"/>
      <w:pStyle w:val="punktor"/>
      <w:lvlText w:val=""/>
      <w:lvlJc w:val="left"/>
      <w:pPr>
        <w:tabs>
          <w:tab w:val="num" w:pos="360"/>
        </w:tabs>
        <w:ind w:left="357" w:hanging="357"/>
      </w:pPr>
      <w:rPr>
        <w:rFonts w:ascii="Symbol" w:hAnsi="Symbol" w:hint="default"/>
        <w:color w:val="auto"/>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bullet"/>
      <w:lvlText w:val=""/>
      <w:lvlJc w:val="left"/>
      <w:pPr>
        <w:tabs>
          <w:tab w:val="num" w:pos="2160"/>
        </w:tabs>
        <w:ind w:left="2160" w:hanging="360"/>
      </w:pPr>
      <w:rPr>
        <w:rFonts w:ascii="Wingdings" w:hAnsi="Wingdings" w:hint="default"/>
      </w:rPr>
    </w:lvl>
    <w:lvl w:ilvl="3" w:tplc="FFFFFFFF">
      <w:start w:val="1"/>
      <w:numFmt w:val="bullet"/>
      <w:lvlText w:val=""/>
      <w:lvlJc w:val="left"/>
      <w:pPr>
        <w:tabs>
          <w:tab w:val="num" w:pos="2880"/>
        </w:tabs>
        <w:ind w:left="2880" w:hanging="360"/>
      </w:pPr>
      <w:rPr>
        <w:rFonts w:ascii="Symbol" w:hAnsi="Symbol" w:hint="default"/>
      </w:rPr>
    </w:lvl>
    <w:lvl w:ilvl="4" w:tplc="FFFFFFFF">
      <w:start w:val="1"/>
      <w:numFmt w:val="bullet"/>
      <w:lvlText w:val="o"/>
      <w:lvlJc w:val="left"/>
      <w:pPr>
        <w:tabs>
          <w:tab w:val="num" w:pos="3600"/>
        </w:tabs>
        <w:ind w:left="3600" w:hanging="360"/>
      </w:pPr>
      <w:rPr>
        <w:rFonts w:ascii="Courier New" w:hAnsi="Courier New" w:hint="default"/>
      </w:rPr>
    </w:lvl>
    <w:lvl w:ilvl="5" w:tplc="FFFFFFFF">
      <w:start w:val="1"/>
      <w:numFmt w:val="bullet"/>
      <w:lvlText w:val=""/>
      <w:lvlJc w:val="left"/>
      <w:pPr>
        <w:tabs>
          <w:tab w:val="num" w:pos="4320"/>
        </w:tabs>
        <w:ind w:left="4320" w:hanging="360"/>
      </w:pPr>
      <w:rPr>
        <w:rFonts w:ascii="Wingdings" w:hAnsi="Wingdings" w:hint="default"/>
      </w:rPr>
    </w:lvl>
    <w:lvl w:ilvl="6" w:tplc="FFFFFFFF">
      <w:start w:val="1"/>
      <w:numFmt w:val="bullet"/>
      <w:lvlText w:val=""/>
      <w:lvlJc w:val="left"/>
      <w:pPr>
        <w:tabs>
          <w:tab w:val="num" w:pos="5040"/>
        </w:tabs>
        <w:ind w:left="5040" w:hanging="360"/>
      </w:pPr>
      <w:rPr>
        <w:rFonts w:ascii="Symbol" w:hAnsi="Symbol" w:hint="default"/>
      </w:rPr>
    </w:lvl>
    <w:lvl w:ilvl="7" w:tplc="FFFFFFFF">
      <w:start w:val="1"/>
      <w:numFmt w:val="bullet"/>
      <w:lvlText w:val="o"/>
      <w:lvlJc w:val="left"/>
      <w:pPr>
        <w:tabs>
          <w:tab w:val="num" w:pos="5760"/>
        </w:tabs>
        <w:ind w:left="5760" w:hanging="360"/>
      </w:pPr>
      <w:rPr>
        <w:rFonts w:ascii="Courier New" w:hAnsi="Courier New" w:hint="default"/>
      </w:rPr>
    </w:lvl>
    <w:lvl w:ilvl="8" w:tplc="FFFFFFFF">
      <w:start w:val="1"/>
      <w:numFmt w:val="bullet"/>
      <w:lvlText w:val=""/>
      <w:lvlJc w:val="left"/>
      <w:pPr>
        <w:tabs>
          <w:tab w:val="num" w:pos="6480"/>
        </w:tabs>
        <w:ind w:left="6480" w:hanging="360"/>
      </w:pPr>
      <w:rPr>
        <w:rFonts w:ascii="Wingdings" w:hAnsi="Wingdings" w:hint="default"/>
      </w:rPr>
    </w:lvl>
  </w:abstractNum>
  <w:abstractNum w:abstractNumId="6">
    <w:nsid w:val="0FA43306"/>
    <w:multiLevelType w:val="multilevel"/>
    <w:tmpl w:val="FFFFFFF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nsid w:val="127A7B80"/>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8">
    <w:nsid w:val="15BF75C2"/>
    <w:multiLevelType w:val="multilevel"/>
    <w:tmpl w:val="B51C92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16BC50A9"/>
    <w:multiLevelType w:val="hybridMultilevel"/>
    <w:tmpl w:val="75081E00"/>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10">
    <w:nsid w:val="183B4BB2"/>
    <w:multiLevelType w:val="multilevel"/>
    <w:tmpl w:val="FFFFFFF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nsid w:val="1C621ED5"/>
    <w:multiLevelType w:val="hybridMultilevel"/>
    <w:tmpl w:val="B612774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nsid w:val="1F1A72DB"/>
    <w:multiLevelType w:val="hybridMultilevel"/>
    <w:tmpl w:val="2B3E5DD0"/>
    <w:lvl w:ilvl="0" w:tplc="0415000F">
      <w:start w:val="1"/>
      <w:numFmt w:val="decimal"/>
      <w:pStyle w:val="nagwek2Kra"/>
      <w:lvlText w:val="%1."/>
      <w:lvlJc w:val="left"/>
      <w:pPr>
        <w:ind w:left="720" w:hanging="360"/>
      </w:pPr>
      <w:rPr>
        <w:rFonts w:ascii="Trebuchet MS" w:hAnsi="Trebuchet MS" w:cs="Times New Roman" w:hint="default"/>
        <w:b/>
        <w:i w:val="0"/>
        <w:color w:val="333366"/>
        <w:position w:val="0"/>
        <w:sz w:val="24"/>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3">
    <w:nsid w:val="1FFB1DF4"/>
    <w:multiLevelType w:val="multilevel"/>
    <w:tmpl w:val="BE3A3A06"/>
    <w:lvl w:ilvl="0">
      <w:start w:val="1"/>
      <w:numFmt w:val="bullet"/>
      <w:pStyle w:val="punty3a"/>
      <w:lvlText w:val=""/>
      <w:lvlJc w:val="left"/>
      <w:pPr>
        <w:tabs>
          <w:tab w:val="num" w:pos="644"/>
        </w:tabs>
        <w:ind w:left="644" w:hanging="360"/>
      </w:pPr>
      <w:rPr>
        <w:rFonts w:ascii="Wingdings" w:hAnsi="Wingdings" w:hint="default"/>
      </w:rPr>
    </w:lvl>
    <w:lvl w:ilvl="1">
      <w:start w:val="1"/>
      <w:numFmt w:val="bullet"/>
      <w:lvlText w:val=""/>
      <w:lvlJc w:val="left"/>
      <w:pPr>
        <w:tabs>
          <w:tab w:val="num" w:pos="720"/>
        </w:tabs>
        <w:ind w:left="720" w:hanging="360"/>
      </w:pPr>
      <w:rPr>
        <w:rFonts w:ascii="Wingdings" w:hAnsi="Wingdings" w:hint="default"/>
      </w:rPr>
    </w:lvl>
    <w:lvl w:ilvl="2">
      <w:start w:val="1"/>
      <w:numFmt w:val="bullet"/>
      <w:lvlText w:val=""/>
      <w:lvlJc w:val="left"/>
      <w:pPr>
        <w:tabs>
          <w:tab w:val="num" w:pos="1080"/>
        </w:tabs>
        <w:ind w:left="1080" w:hanging="360"/>
      </w:pPr>
      <w:rPr>
        <w:rFonts w:ascii="Wingdings" w:hAnsi="Wingdings" w:hint="default"/>
      </w:rPr>
    </w:lvl>
    <w:lvl w:ilvl="3">
      <w:start w:val="1"/>
      <w:numFmt w:val="bullet"/>
      <w:lvlText w:val=""/>
      <w:lvlJc w:val="left"/>
      <w:pPr>
        <w:tabs>
          <w:tab w:val="num" w:pos="1440"/>
        </w:tabs>
        <w:ind w:left="1440" w:hanging="360"/>
      </w:pPr>
      <w:rPr>
        <w:rFonts w:ascii="Symbol" w:hAnsi="Symbol" w:hint="default"/>
      </w:rPr>
    </w:lvl>
    <w:lvl w:ilvl="4">
      <w:start w:val="1"/>
      <w:numFmt w:val="bullet"/>
      <w:lvlText w:val=""/>
      <w:lvlJc w:val="left"/>
      <w:pPr>
        <w:tabs>
          <w:tab w:val="num" w:pos="1800"/>
        </w:tabs>
        <w:ind w:left="1800" w:hanging="360"/>
      </w:pPr>
      <w:rPr>
        <w:rFonts w:ascii="Symbol" w:hAnsi="Symbol" w:hint="default"/>
      </w:rPr>
    </w:lvl>
    <w:lvl w:ilvl="5">
      <w:start w:val="1"/>
      <w:numFmt w:val="bullet"/>
      <w:lvlText w:val=""/>
      <w:lvlJc w:val="left"/>
      <w:pPr>
        <w:tabs>
          <w:tab w:val="num" w:pos="2160"/>
        </w:tabs>
        <w:ind w:left="2160" w:hanging="360"/>
      </w:pPr>
      <w:rPr>
        <w:rFonts w:ascii="Wingdings" w:hAnsi="Wingdings" w:hint="default"/>
      </w:rPr>
    </w:lvl>
    <w:lvl w:ilvl="6">
      <w:start w:val="1"/>
      <w:numFmt w:val="bullet"/>
      <w:lvlText w:val=""/>
      <w:lvlJc w:val="left"/>
      <w:pPr>
        <w:tabs>
          <w:tab w:val="num" w:pos="2520"/>
        </w:tabs>
        <w:ind w:left="2520" w:hanging="360"/>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4">
    <w:nsid w:val="222D4301"/>
    <w:multiLevelType w:val="hybridMultilevel"/>
    <w:tmpl w:val="7FC8C3B6"/>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15">
    <w:nsid w:val="225D7C2C"/>
    <w:multiLevelType w:val="hybridMultilevel"/>
    <w:tmpl w:val="0B1A34F4"/>
    <w:name w:val="WW8Num2112"/>
    <w:lvl w:ilvl="0" w:tplc="04150001">
      <w:start w:val="1"/>
      <w:numFmt w:val="bullet"/>
      <w:lvlText w:val=""/>
      <w:lvlJc w:val="left"/>
      <w:pPr>
        <w:tabs>
          <w:tab w:val="num" w:pos="360"/>
        </w:tabs>
        <w:ind w:left="360" w:hanging="360"/>
      </w:pPr>
      <w:rPr>
        <w:rFonts w:ascii="Symbol" w:hAnsi="Symbol"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16">
    <w:nsid w:val="240A40EA"/>
    <w:multiLevelType w:val="multilevel"/>
    <w:tmpl w:val="C302C534"/>
    <w:lvl w:ilvl="0">
      <w:start w:val="1"/>
      <w:numFmt w:val="decimal"/>
      <w:lvlText w:val="%1."/>
      <w:lvlJc w:val="left"/>
      <w:pPr>
        <w:tabs>
          <w:tab w:val="num" w:pos="360"/>
        </w:tabs>
        <w:ind w:left="360" w:hanging="360"/>
      </w:pPr>
      <w:rPr>
        <w:rFonts w:cs="Times New Roman" w:hint="default"/>
      </w:rPr>
    </w:lvl>
    <w:lvl w:ilvl="1">
      <w:start w:val="1"/>
      <w:numFmt w:val="decimal"/>
      <w:pStyle w:val="punkt"/>
      <w:lvlText w:val="%1.%2."/>
      <w:lvlJc w:val="left"/>
      <w:pPr>
        <w:tabs>
          <w:tab w:val="num" w:pos="4932"/>
        </w:tabs>
        <w:ind w:left="4932" w:hanging="432"/>
      </w:pPr>
      <w:rPr>
        <w:rFonts w:cs="Times New Roman" w:hint="default"/>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7">
    <w:nsid w:val="29C93244"/>
    <w:multiLevelType w:val="hybridMultilevel"/>
    <w:tmpl w:val="2DC407BA"/>
    <w:lvl w:ilvl="0" w:tplc="60481FB2">
      <w:start w:val="1"/>
      <w:numFmt w:val="bullet"/>
      <w:pStyle w:val="Mpktlista"/>
      <w:lvlText w:val=""/>
      <w:lvlJc w:val="left"/>
      <w:pPr>
        <w:ind w:left="1174" w:hanging="360"/>
      </w:pPr>
      <w:rPr>
        <w:rFonts w:ascii="Symbol" w:hAnsi="Symbol" w:hint="default"/>
      </w:rPr>
    </w:lvl>
    <w:lvl w:ilvl="1" w:tplc="04150003" w:tentative="1">
      <w:start w:val="1"/>
      <w:numFmt w:val="bullet"/>
      <w:lvlText w:val="o"/>
      <w:lvlJc w:val="left"/>
      <w:pPr>
        <w:ind w:left="1894" w:hanging="360"/>
      </w:pPr>
      <w:rPr>
        <w:rFonts w:ascii="Courier New" w:hAnsi="Courier New" w:hint="default"/>
      </w:rPr>
    </w:lvl>
    <w:lvl w:ilvl="2" w:tplc="04150005" w:tentative="1">
      <w:start w:val="1"/>
      <w:numFmt w:val="bullet"/>
      <w:lvlText w:val=""/>
      <w:lvlJc w:val="left"/>
      <w:pPr>
        <w:ind w:left="2614" w:hanging="360"/>
      </w:pPr>
      <w:rPr>
        <w:rFonts w:ascii="Wingdings" w:hAnsi="Wingdings" w:hint="default"/>
      </w:rPr>
    </w:lvl>
    <w:lvl w:ilvl="3" w:tplc="04150001" w:tentative="1">
      <w:start w:val="1"/>
      <w:numFmt w:val="bullet"/>
      <w:lvlText w:val=""/>
      <w:lvlJc w:val="left"/>
      <w:pPr>
        <w:ind w:left="3334" w:hanging="360"/>
      </w:pPr>
      <w:rPr>
        <w:rFonts w:ascii="Symbol" w:hAnsi="Symbol" w:hint="default"/>
      </w:rPr>
    </w:lvl>
    <w:lvl w:ilvl="4" w:tplc="04150003" w:tentative="1">
      <w:start w:val="1"/>
      <w:numFmt w:val="bullet"/>
      <w:lvlText w:val="o"/>
      <w:lvlJc w:val="left"/>
      <w:pPr>
        <w:ind w:left="4054" w:hanging="360"/>
      </w:pPr>
      <w:rPr>
        <w:rFonts w:ascii="Courier New" w:hAnsi="Courier New" w:hint="default"/>
      </w:rPr>
    </w:lvl>
    <w:lvl w:ilvl="5" w:tplc="04150005" w:tentative="1">
      <w:start w:val="1"/>
      <w:numFmt w:val="bullet"/>
      <w:lvlText w:val=""/>
      <w:lvlJc w:val="left"/>
      <w:pPr>
        <w:ind w:left="4774" w:hanging="360"/>
      </w:pPr>
      <w:rPr>
        <w:rFonts w:ascii="Wingdings" w:hAnsi="Wingdings" w:hint="default"/>
      </w:rPr>
    </w:lvl>
    <w:lvl w:ilvl="6" w:tplc="04150001" w:tentative="1">
      <w:start w:val="1"/>
      <w:numFmt w:val="bullet"/>
      <w:lvlText w:val=""/>
      <w:lvlJc w:val="left"/>
      <w:pPr>
        <w:ind w:left="5494" w:hanging="360"/>
      </w:pPr>
      <w:rPr>
        <w:rFonts w:ascii="Symbol" w:hAnsi="Symbol" w:hint="default"/>
      </w:rPr>
    </w:lvl>
    <w:lvl w:ilvl="7" w:tplc="04150003" w:tentative="1">
      <w:start w:val="1"/>
      <w:numFmt w:val="bullet"/>
      <w:lvlText w:val="o"/>
      <w:lvlJc w:val="left"/>
      <w:pPr>
        <w:ind w:left="6214" w:hanging="360"/>
      </w:pPr>
      <w:rPr>
        <w:rFonts w:ascii="Courier New" w:hAnsi="Courier New" w:hint="default"/>
      </w:rPr>
    </w:lvl>
    <w:lvl w:ilvl="8" w:tplc="04150005" w:tentative="1">
      <w:start w:val="1"/>
      <w:numFmt w:val="bullet"/>
      <w:lvlText w:val=""/>
      <w:lvlJc w:val="left"/>
      <w:pPr>
        <w:ind w:left="6934" w:hanging="360"/>
      </w:pPr>
      <w:rPr>
        <w:rFonts w:ascii="Wingdings" w:hAnsi="Wingdings" w:hint="default"/>
      </w:rPr>
    </w:lvl>
  </w:abstractNum>
  <w:abstractNum w:abstractNumId="18">
    <w:nsid w:val="2B836CBD"/>
    <w:multiLevelType w:val="hybridMultilevel"/>
    <w:tmpl w:val="C47C4344"/>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19">
    <w:nsid w:val="2CD06711"/>
    <w:multiLevelType w:val="hybridMultilevel"/>
    <w:tmpl w:val="738C25A0"/>
    <w:lvl w:ilvl="0" w:tplc="294C9018">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20">
    <w:nsid w:val="2E2465C8"/>
    <w:multiLevelType w:val="hybridMultilevel"/>
    <w:tmpl w:val="FCE43D70"/>
    <w:lvl w:ilvl="0" w:tplc="021426DC">
      <w:start w:val="1"/>
      <w:numFmt w:val="bullet"/>
      <w:lvlText w:val=""/>
      <w:lvlJc w:val="left"/>
      <w:pPr>
        <w:ind w:left="1211" w:hanging="360"/>
      </w:pPr>
      <w:rPr>
        <w:rFonts w:ascii="Symbol" w:hAnsi="Symbol" w:hint="default"/>
      </w:rPr>
    </w:lvl>
    <w:lvl w:ilvl="1" w:tplc="04150003" w:tentative="1">
      <w:start w:val="1"/>
      <w:numFmt w:val="bullet"/>
      <w:lvlText w:val="o"/>
      <w:lvlJc w:val="left"/>
      <w:pPr>
        <w:ind w:left="2215" w:hanging="360"/>
      </w:pPr>
      <w:rPr>
        <w:rFonts w:ascii="Courier New" w:hAnsi="Courier New" w:hint="default"/>
      </w:rPr>
    </w:lvl>
    <w:lvl w:ilvl="2" w:tplc="04150005" w:tentative="1">
      <w:start w:val="1"/>
      <w:numFmt w:val="bullet"/>
      <w:lvlText w:val=""/>
      <w:lvlJc w:val="left"/>
      <w:pPr>
        <w:ind w:left="2935" w:hanging="360"/>
      </w:pPr>
      <w:rPr>
        <w:rFonts w:ascii="Wingdings" w:hAnsi="Wingdings" w:hint="default"/>
      </w:rPr>
    </w:lvl>
    <w:lvl w:ilvl="3" w:tplc="04150001" w:tentative="1">
      <w:start w:val="1"/>
      <w:numFmt w:val="bullet"/>
      <w:lvlText w:val=""/>
      <w:lvlJc w:val="left"/>
      <w:pPr>
        <w:ind w:left="3655" w:hanging="360"/>
      </w:pPr>
      <w:rPr>
        <w:rFonts w:ascii="Symbol" w:hAnsi="Symbol" w:hint="default"/>
      </w:rPr>
    </w:lvl>
    <w:lvl w:ilvl="4" w:tplc="04150003" w:tentative="1">
      <w:start w:val="1"/>
      <w:numFmt w:val="bullet"/>
      <w:lvlText w:val="o"/>
      <w:lvlJc w:val="left"/>
      <w:pPr>
        <w:ind w:left="4375" w:hanging="360"/>
      </w:pPr>
      <w:rPr>
        <w:rFonts w:ascii="Courier New" w:hAnsi="Courier New" w:hint="default"/>
      </w:rPr>
    </w:lvl>
    <w:lvl w:ilvl="5" w:tplc="04150005" w:tentative="1">
      <w:start w:val="1"/>
      <w:numFmt w:val="bullet"/>
      <w:lvlText w:val=""/>
      <w:lvlJc w:val="left"/>
      <w:pPr>
        <w:ind w:left="5095" w:hanging="360"/>
      </w:pPr>
      <w:rPr>
        <w:rFonts w:ascii="Wingdings" w:hAnsi="Wingdings" w:hint="default"/>
      </w:rPr>
    </w:lvl>
    <w:lvl w:ilvl="6" w:tplc="04150001" w:tentative="1">
      <w:start w:val="1"/>
      <w:numFmt w:val="bullet"/>
      <w:lvlText w:val=""/>
      <w:lvlJc w:val="left"/>
      <w:pPr>
        <w:ind w:left="5815" w:hanging="360"/>
      </w:pPr>
      <w:rPr>
        <w:rFonts w:ascii="Symbol" w:hAnsi="Symbol" w:hint="default"/>
      </w:rPr>
    </w:lvl>
    <w:lvl w:ilvl="7" w:tplc="04150003" w:tentative="1">
      <w:start w:val="1"/>
      <w:numFmt w:val="bullet"/>
      <w:lvlText w:val="o"/>
      <w:lvlJc w:val="left"/>
      <w:pPr>
        <w:ind w:left="6535" w:hanging="360"/>
      </w:pPr>
      <w:rPr>
        <w:rFonts w:ascii="Courier New" w:hAnsi="Courier New" w:hint="default"/>
      </w:rPr>
    </w:lvl>
    <w:lvl w:ilvl="8" w:tplc="04150005" w:tentative="1">
      <w:start w:val="1"/>
      <w:numFmt w:val="bullet"/>
      <w:lvlText w:val=""/>
      <w:lvlJc w:val="left"/>
      <w:pPr>
        <w:ind w:left="7255" w:hanging="360"/>
      </w:pPr>
      <w:rPr>
        <w:rFonts w:ascii="Wingdings" w:hAnsi="Wingdings" w:hint="default"/>
      </w:rPr>
    </w:lvl>
  </w:abstractNum>
  <w:abstractNum w:abstractNumId="21">
    <w:nsid w:val="3180276F"/>
    <w:multiLevelType w:val="multilevel"/>
    <w:tmpl w:val="FAFAD58C"/>
    <w:name w:val="dz_N"/>
    <w:lvl w:ilvl="0">
      <w:start w:val="1"/>
      <w:numFmt w:val="decimal"/>
      <w:pStyle w:val="Styl1"/>
      <w:lvlText w:val="%1."/>
      <w:lvlJc w:val="left"/>
      <w:pPr>
        <w:ind w:left="360" w:hanging="360"/>
      </w:pPr>
      <w:rPr>
        <w:rFonts w:cs="Times New Roman"/>
      </w:rPr>
    </w:lvl>
    <w:lvl w:ilvl="1">
      <w:start w:val="1"/>
      <w:numFmt w:val="decimal"/>
      <w:pStyle w:val="Styl2"/>
      <w:lvlText w:val="%1.%2."/>
      <w:lvlJc w:val="left"/>
      <w:pPr>
        <w:ind w:left="4118"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2">
    <w:nsid w:val="35664092"/>
    <w:multiLevelType w:val="multilevel"/>
    <w:tmpl w:val="0415001F"/>
    <w:lvl w:ilvl="0">
      <w:start w:val="1"/>
      <w:numFmt w:val="decimal"/>
      <w:lvlText w:val="%1."/>
      <w:lvlJc w:val="left"/>
      <w:pPr>
        <w:ind w:left="360" w:hanging="360"/>
      </w:pPr>
      <w:rPr>
        <w:rFonts w:cs="Times New Roman"/>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35FB13E4"/>
    <w:multiLevelType w:val="hybridMultilevel"/>
    <w:tmpl w:val="966C5AB6"/>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24">
    <w:nsid w:val="3661602B"/>
    <w:multiLevelType w:val="multilevel"/>
    <w:tmpl w:val="23ACC542"/>
    <w:lvl w:ilvl="0">
      <w:start w:val="1"/>
      <w:numFmt w:val="decimal"/>
      <w:pStyle w:val="GOMnagl1"/>
      <w:lvlText w:val="%1."/>
      <w:lvlJc w:val="left"/>
      <w:pPr>
        <w:ind w:left="360" w:hanging="360"/>
      </w:pPr>
      <w:rPr>
        <w:rFonts w:cs="Times New Roman" w:hint="default"/>
      </w:rPr>
    </w:lvl>
    <w:lvl w:ilvl="1">
      <w:start w:val="1"/>
      <w:numFmt w:val="decimal"/>
      <w:pStyle w:val="GOMnagl2"/>
      <w:isLgl/>
      <w:lvlText w:val="%1.%2."/>
      <w:lvlJc w:val="left"/>
      <w:pPr>
        <w:ind w:left="720" w:hanging="720"/>
      </w:pPr>
      <w:rPr>
        <w:rFonts w:cs="Times New Roman" w:hint="default"/>
      </w:rPr>
    </w:lvl>
    <w:lvl w:ilvl="2">
      <w:start w:val="1"/>
      <w:numFmt w:val="decimal"/>
      <w:pStyle w:val="GOMnagl3"/>
      <w:isLgl/>
      <w:lvlText w:val="%1.%2.%3."/>
      <w:lvlJc w:val="left"/>
      <w:pPr>
        <w:ind w:left="1080" w:hanging="1080"/>
      </w:pPr>
      <w:rPr>
        <w:rFonts w:cs="Times New Roman" w:hint="default"/>
      </w:rPr>
    </w:lvl>
    <w:lvl w:ilvl="3">
      <w:start w:val="1"/>
      <w:numFmt w:val="decimal"/>
      <w:pStyle w:val="GOMnag4"/>
      <w:isLgl/>
      <w:lvlText w:val="%1.%2.%3.%4."/>
      <w:lvlJc w:val="left"/>
      <w:pPr>
        <w:ind w:left="1440" w:hanging="1440"/>
      </w:pPr>
      <w:rPr>
        <w:rFonts w:cs="Times New Roman" w:hint="default"/>
      </w:rPr>
    </w:lvl>
    <w:lvl w:ilvl="4">
      <w:start w:val="1"/>
      <w:numFmt w:val="decimal"/>
      <w:isLgl/>
      <w:lvlText w:val="%1.%2.%3.%4.%5."/>
      <w:lvlJc w:val="left"/>
      <w:pPr>
        <w:ind w:left="1440" w:hanging="1440"/>
      </w:pPr>
      <w:rPr>
        <w:rFonts w:cs="Times New Roman" w:hint="default"/>
      </w:rPr>
    </w:lvl>
    <w:lvl w:ilvl="5">
      <w:start w:val="1"/>
      <w:numFmt w:val="decimal"/>
      <w:isLgl/>
      <w:lvlText w:val="%1.%2.%3.%4.%5.%6."/>
      <w:lvlJc w:val="left"/>
      <w:pPr>
        <w:ind w:left="1800" w:hanging="1800"/>
      </w:pPr>
      <w:rPr>
        <w:rFonts w:cs="Times New Roman" w:hint="default"/>
      </w:rPr>
    </w:lvl>
    <w:lvl w:ilvl="6">
      <w:start w:val="1"/>
      <w:numFmt w:val="decimal"/>
      <w:isLgl/>
      <w:lvlText w:val="%1.%2.%3.%4.%5.%6.%7."/>
      <w:lvlJc w:val="left"/>
      <w:pPr>
        <w:ind w:left="2160" w:hanging="2160"/>
      </w:pPr>
      <w:rPr>
        <w:rFonts w:cs="Times New Roman" w:hint="default"/>
      </w:rPr>
    </w:lvl>
    <w:lvl w:ilvl="7">
      <w:start w:val="1"/>
      <w:numFmt w:val="decimal"/>
      <w:isLgl/>
      <w:lvlText w:val="%1.%2.%3.%4.%5.%6.%7.%8."/>
      <w:lvlJc w:val="left"/>
      <w:pPr>
        <w:ind w:left="2520" w:hanging="2520"/>
      </w:pPr>
      <w:rPr>
        <w:rFonts w:cs="Times New Roman" w:hint="default"/>
      </w:rPr>
    </w:lvl>
    <w:lvl w:ilvl="8">
      <w:start w:val="1"/>
      <w:numFmt w:val="decimal"/>
      <w:isLgl/>
      <w:lvlText w:val="%1.%2.%3.%4.%5.%6.%7.%8.%9."/>
      <w:lvlJc w:val="left"/>
      <w:pPr>
        <w:ind w:left="2520" w:hanging="2520"/>
      </w:pPr>
      <w:rPr>
        <w:rFonts w:cs="Times New Roman" w:hint="default"/>
      </w:rPr>
    </w:lvl>
  </w:abstractNum>
  <w:abstractNum w:abstractNumId="25">
    <w:nsid w:val="467126D8"/>
    <w:multiLevelType w:val="hybridMultilevel"/>
    <w:tmpl w:val="C15A47B0"/>
    <w:lvl w:ilvl="0" w:tplc="04150001">
      <w:start w:val="1"/>
      <w:numFmt w:val="upperRoman"/>
      <w:pStyle w:val="1"/>
      <w:lvlText w:val="%1."/>
      <w:lvlJc w:val="left"/>
      <w:pPr>
        <w:tabs>
          <w:tab w:val="num" w:pos="360"/>
        </w:tabs>
        <w:ind w:left="360" w:hanging="360"/>
      </w:pPr>
      <w:rPr>
        <w:rFonts w:cs="Times New Roman" w:hint="default"/>
      </w:rPr>
    </w:lvl>
    <w:lvl w:ilvl="1" w:tplc="04150001">
      <w:numFmt w:val="none"/>
      <w:pStyle w:val="2"/>
      <w:lvlText w:val=""/>
      <w:lvlJc w:val="left"/>
      <w:pPr>
        <w:tabs>
          <w:tab w:val="num" w:pos="360"/>
        </w:tabs>
      </w:pPr>
      <w:rPr>
        <w:rFonts w:cs="Times New Roman"/>
      </w:rPr>
    </w:lvl>
    <w:lvl w:ilvl="2" w:tplc="04150003">
      <w:numFmt w:val="none"/>
      <w:lvlText w:val=""/>
      <w:lvlJc w:val="left"/>
      <w:pPr>
        <w:tabs>
          <w:tab w:val="num" w:pos="360"/>
        </w:tabs>
      </w:pPr>
      <w:rPr>
        <w:rFonts w:cs="Times New Roman"/>
      </w:rPr>
    </w:lvl>
    <w:lvl w:ilvl="3" w:tplc="04150001">
      <w:numFmt w:val="none"/>
      <w:lvlText w:val=""/>
      <w:lvlJc w:val="left"/>
      <w:pPr>
        <w:tabs>
          <w:tab w:val="num" w:pos="360"/>
        </w:tabs>
      </w:pPr>
      <w:rPr>
        <w:rFonts w:cs="Times New Roman"/>
      </w:rPr>
    </w:lvl>
    <w:lvl w:ilvl="4" w:tplc="04150003">
      <w:numFmt w:val="none"/>
      <w:lvlText w:val=""/>
      <w:lvlJc w:val="left"/>
      <w:pPr>
        <w:tabs>
          <w:tab w:val="num" w:pos="360"/>
        </w:tabs>
      </w:pPr>
      <w:rPr>
        <w:rFonts w:cs="Times New Roman"/>
      </w:rPr>
    </w:lvl>
    <w:lvl w:ilvl="5" w:tplc="04150005">
      <w:numFmt w:val="none"/>
      <w:lvlText w:val=""/>
      <w:lvlJc w:val="left"/>
      <w:pPr>
        <w:tabs>
          <w:tab w:val="num" w:pos="360"/>
        </w:tabs>
      </w:pPr>
      <w:rPr>
        <w:rFonts w:cs="Times New Roman"/>
      </w:rPr>
    </w:lvl>
    <w:lvl w:ilvl="6" w:tplc="04150001">
      <w:numFmt w:val="none"/>
      <w:lvlText w:val=""/>
      <w:lvlJc w:val="left"/>
      <w:pPr>
        <w:tabs>
          <w:tab w:val="num" w:pos="360"/>
        </w:tabs>
      </w:pPr>
      <w:rPr>
        <w:rFonts w:cs="Times New Roman"/>
      </w:rPr>
    </w:lvl>
    <w:lvl w:ilvl="7" w:tplc="04150003">
      <w:numFmt w:val="none"/>
      <w:lvlText w:val=""/>
      <w:lvlJc w:val="left"/>
      <w:pPr>
        <w:tabs>
          <w:tab w:val="num" w:pos="360"/>
        </w:tabs>
      </w:pPr>
      <w:rPr>
        <w:rFonts w:cs="Times New Roman"/>
      </w:rPr>
    </w:lvl>
    <w:lvl w:ilvl="8" w:tplc="04150005">
      <w:numFmt w:val="none"/>
      <w:lvlText w:val=""/>
      <w:lvlJc w:val="left"/>
      <w:pPr>
        <w:tabs>
          <w:tab w:val="num" w:pos="360"/>
        </w:tabs>
      </w:pPr>
      <w:rPr>
        <w:rFonts w:cs="Times New Roman"/>
      </w:rPr>
    </w:lvl>
  </w:abstractNum>
  <w:abstractNum w:abstractNumId="26">
    <w:nsid w:val="478D3D8A"/>
    <w:multiLevelType w:val="hybridMultilevel"/>
    <w:tmpl w:val="301ABC0A"/>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27">
    <w:nsid w:val="48CB5B2F"/>
    <w:multiLevelType w:val="hybridMultilevel"/>
    <w:tmpl w:val="DE68E61A"/>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4E640B8E"/>
    <w:multiLevelType w:val="multilevel"/>
    <w:tmpl w:val="AFE8066A"/>
    <w:lvl w:ilvl="0">
      <w:start w:val="1"/>
      <w:numFmt w:val="decimal"/>
      <w:pStyle w:val="Knagl1"/>
      <w:lvlText w:val="%1."/>
      <w:lvlJc w:val="left"/>
      <w:pPr>
        <w:ind w:left="786" w:hanging="360"/>
      </w:pPr>
      <w:rPr>
        <w:rFonts w:ascii="Trebuchet MS" w:hAnsi="Trebuchet MS" w:cs="Times New Roman" w:hint="default"/>
        <w:b/>
        <w:i w:val="0"/>
        <w:sz w:val="24"/>
      </w:rPr>
    </w:lvl>
    <w:lvl w:ilvl="1">
      <w:start w:val="3"/>
      <w:numFmt w:val="decimal"/>
      <w:isLgl/>
      <w:lvlText w:val="%1.%2."/>
      <w:lvlJc w:val="left"/>
      <w:pPr>
        <w:ind w:left="1080" w:hanging="720"/>
      </w:pPr>
      <w:rPr>
        <w:rFonts w:cs="Times New Roman" w:hint="default"/>
      </w:rPr>
    </w:lvl>
    <w:lvl w:ilvl="2">
      <w:start w:val="6"/>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9">
    <w:nsid w:val="4F9A0A51"/>
    <w:multiLevelType w:val="singleLevel"/>
    <w:tmpl w:val="E35CD54E"/>
    <w:styleLink w:val="magda11"/>
    <w:lvl w:ilvl="0">
      <w:start w:val="1"/>
      <w:numFmt w:val="bullet"/>
      <w:pStyle w:val="punkty"/>
      <w:lvlText w:val=""/>
      <w:lvlJc w:val="left"/>
      <w:pPr>
        <w:tabs>
          <w:tab w:val="num" w:pos="360"/>
        </w:tabs>
        <w:ind w:left="360" w:hanging="360"/>
      </w:pPr>
      <w:rPr>
        <w:rFonts w:ascii="Symbol" w:hAnsi="Symbol" w:hint="default"/>
      </w:rPr>
    </w:lvl>
  </w:abstractNum>
  <w:abstractNum w:abstractNumId="30">
    <w:nsid w:val="501C1841"/>
    <w:multiLevelType w:val="hybridMultilevel"/>
    <w:tmpl w:val="C1F2D89A"/>
    <w:lvl w:ilvl="0" w:tplc="4F0AC596">
      <w:start w:val="1"/>
      <w:numFmt w:val="bullet"/>
      <w:pStyle w:val="Kwypunkt"/>
      <w:lvlText w:val=""/>
      <w:lvlJc w:val="left"/>
      <w:pPr>
        <w:tabs>
          <w:tab w:val="num" w:pos="720"/>
        </w:tabs>
        <w:ind w:left="720" w:hanging="360"/>
      </w:pPr>
      <w:rPr>
        <w:rFonts w:ascii="Symbol" w:hAnsi="Symbol" w:hint="default"/>
        <w:color w:val="006600"/>
      </w:rPr>
    </w:lvl>
    <w:lvl w:ilvl="1" w:tplc="04150019">
      <w:start w:val="1"/>
      <w:numFmt w:val="bullet"/>
      <w:lvlText w:val="o"/>
      <w:lvlJc w:val="left"/>
      <w:pPr>
        <w:tabs>
          <w:tab w:val="num" w:pos="1440"/>
        </w:tabs>
        <w:ind w:left="1440" w:hanging="360"/>
      </w:pPr>
      <w:rPr>
        <w:rFonts w:ascii="Courier New" w:hAnsi="Courier New" w:hint="default"/>
      </w:rPr>
    </w:lvl>
    <w:lvl w:ilvl="2" w:tplc="0415001B">
      <w:start w:val="1"/>
      <w:numFmt w:val="bullet"/>
      <w:lvlText w:val=""/>
      <w:lvlJc w:val="left"/>
      <w:pPr>
        <w:tabs>
          <w:tab w:val="num" w:pos="2160"/>
        </w:tabs>
        <w:ind w:left="2160" w:hanging="360"/>
      </w:pPr>
      <w:rPr>
        <w:rFonts w:ascii="Wingdings" w:hAnsi="Wingdings" w:hint="default"/>
      </w:rPr>
    </w:lvl>
    <w:lvl w:ilvl="3" w:tplc="0415000F">
      <w:start w:val="1"/>
      <w:numFmt w:val="bullet"/>
      <w:lvlText w:val=""/>
      <w:lvlJc w:val="left"/>
      <w:pPr>
        <w:tabs>
          <w:tab w:val="num" w:pos="2880"/>
        </w:tabs>
        <w:ind w:left="2880" w:hanging="360"/>
      </w:pPr>
      <w:rPr>
        <w:rFonts w:ascii="Symbol" w:hAnsi="Symbol" w:hint="default"/>
      </w:rPr>
    </w:lvl>
    <w:lvl w:ilvl="4" w:tplc="04150019">
      <w:start w:val="1"/>
      <w:numFmt w:val="bullet"/>
      <w:lvlText w:val="o"/>
      <w:lvlJc w:val="left"/>
      <w:pPr>
        <w:tabs>
          <w:tab w:val="num" w:pos="3600"/>
        </w:tabs>
        <w:ind w:left="3600" w:hanging="360"/>
      </w:pPr>
      <w:rPr>
        <w:rFonts w:ascii="Courier New" w:hAnsi="Courier New" w:hint="default"/>
      </w:rPr>
    </w:lvl>
    <w:lvl w:ilvl="5" w:tplc="0415001B">
      <w:start w:val="1"/>
      <w:numFmt w:val="bullet"/>
      <w:lvlText w:val=""/>
      <w:lvlJc w:val="left"/>
      <w:pPr>
        <w:tabs>
          <w:tab w:val="num" w:pos="4320"/>
        </w:tabs>
        <w:ind w:left="4320" w:hanging="360"/>
      </w:pPr>
      <w:rPr>
        <w:rFonts w:ascii="Wingdings" w:hAnsi="Wingdings" w:hint="default"/>
      </w:rPr>
    </w:lvl>
    <w:lvl w:ilvl="6" w:tplc="0415000F">
      <w:start w:val="1"/>
      <w:numFmt w:val="bullet"/>
      <w:lvlText w:val=""/>
      <w:lvlJc w:val="left"/>
      <w:pPr>
        <w:tabs>
          <w:tab w:val="num" w:pos="5040"/>
        </w:tabs>
        <w:ind w:left="5040" w:hanging="360"/>
      </w:pPr>
      <w:rPr>
        <w:rFonts w:ascii="Symbol" w:hAnsi="Symbol" w:hint="default"/>
      </w:rPr>
    </w:lvl>
    <w:lvl w:ilvl="7" w:tplc="04150019">
      <w:start w:val="1"/>
      <w:numFmt w:val="bullet"/>
      <w:lvlText w:val="o"/>
      <w:lvlJc w:val="left"/>
      <w:pPr>
        <w:tabs>
          <w:tab w:val="num" w:pos="5760"/>
        </w:tabs>
        <w:ind w:left="5760" w:hanging="360"/>
      </w:pPr>
      <w:rPr>
        <w:rFonts w:ascii="Courier New" w:hAnsi="Courier New" w:hint="default"/>
      </w:rPr>
    </w:lvl>
    <w:lvl w:ilvl="8" w:tplc="0415001B">
      <w:start w:val="1"/>
      <w:numFmt w:val="bullet"/>
      <w:lvlText w:val=""/>
      <w:lvlJc w:val="left"/>
      <w:pPr>
        <w:tabs>
          <w:tab w:val="num" w:pos="6480"/>
        </w:tabs>
        <w:ind w:left="6480" w:hanging="360"/>
      </w:pPr>
      <w:rPr>
        <w:rFonts w:ascii="Wingdings" w:hAnsi="Wingdings" w:hint="default"/>
      </w:rPr>
    </w:lvl>
  </w:abstractNum>
  <w:abstractNum w:abstractNumId="31">
    <w:nsid w:val="509767C0"/>
    <w:multiLevelType w:val="multilevel"/>
    <w:tmpl w:val="0415001F"/>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728"/>
        </w:tabs>
        <w:ind w:left="1728" w:hanging="648"/>
      </w:pPr>
      <w:rPr>
        <w:rFonts w:cs="Times New Roman"/>
      </w:rPr>
    </w:lvl>
    <w:lvl w:ilvl="4">
      <w:start w:val="1"/>
      <w:numFmt w:val="decimal"/>
      <w:lvlText w:val="%1.%2.%3.%4.%5."/>
      <w:lvlJc w:val="left"/>
      <w:pPr>
        <w:tabs>
          <w:tab w:val="num" w:pos="2232"/>
        </w:tabs>
        <w:ind w:left="2232" w:hanging="792"/>
      </w:pPr>
      <w:rPr>
        <w:rFonts w:cs="Times New Roman"/>
      </w:rPr>
    </w:lvl>
    <w:lvl w:ilvl="5">
      <w:start w:val="1"/>
      <w:numFmt w:val="decimal"/>
      <w:lvlText w:val="%1.%2.%3.%4.%5.%6."/>
      <w:lvlJc w:val="left"/>
      <w:pPr>
        <w:tabs>
          <w:tab w:val="num" w:pos="2736"/>
        </w:tabs>
        <w:ind w:left="2736" w:hanging="936"/>
      </w:pPr>
      <w:rPr>
        <w:rFonts w:cs="Times New Roman"/>
      </w:rPr>
    </w:lvl>
    <w:lvl w:ilvl="6">
      <w:start w:val="1"/>
      <w:numFmt w:val="decimal"/>
      <w:lvlText w:val="%1.%2.%3.%4.%5.%6.%7."/>
      <w:lvlJc w:val="left"/>
      <w:pPr>
        <w:tabs>
          <w:tab w:val="num" w:pos="3240"/>
        </w:tabs>
        <w:ind w:left="3240" w:hanging="1080"/>
      </w:pPr>
      <w:rPr>
        <w:rFonts w:cs="Times New Roman"/>
      </w:rPr>
    </w:lvl>
    <w:lvl w:ilvl="7">
      <w:start w:val="1"/>
      <w:numFmt w:val="decimal"/>
      <w:lvlText w:val="%1.%2.%3.%4.%5.%6.%7.%8."/>
      <w:lvlJc w:val="left"/>
      <w:pPr>
        <w:tabs>
          <w:tab w:val="num" w:pos="3744"/>
        </w:tabs>
        <w:ind w:left="3744" w:hanging="1224"/>
      </w:pPr>
      <w:rPr>
        <w:rFonts w:cs="Times New Roman"/>
      </w:rPr>
    </w:lvl>
    <w:lvl w:ilvl="8">
      <w:start w:val="1"/>
      <w:numFmt w:val="decimal"/>
      <w:lvlText w:val="%1.%2.%3.%4.%5.%6.%7.%8.%9."/>
      <w:lvlJc w:val="left"/>
      <w:pPr>
        <w:tabs>
          <w:tab w:val="num" w:pos="4320"/>
        </w:tabs>
        <w:ind w:left="4320" w:hanging="1440"/>
      </w:pPr>
      <w:rPr>
        <w:rFonts w:cs="Times New Roman"/>
      </w:rPr>
    </w:lvl>
  </w:abstractNum>
  <w:abstractNum w:abstractNumId="32">
    <w:nsid w:val="5C4A5B7C"/>
    <w:multiLevelType w:val="hybridMultilevel"/>
    <w:tmpl w:val="EAAEAFE8"/>
    <w:lvl w:ilvl="0" w:tplc="FFD8D0C8">
      <w:start w:val="1"/>
      <w:numFmt w:val="bullet"/>
      <w:pStyle w:val="GOMlista"/>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3">
    <w:nsid w:val="5CDC1E2C"/>
    <w:multiLevelType w:val="hybridMultilevel"/>
    <w:tmpl w:val="68A04D74"/>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34">
    <w:nsid w:val="5D997049"/>
    <w:multiLevelType w:val="hybridMultilevel"/>
    <w:tmpl w:val="D03068A6"/>
    <w:lvl w:ilvl="0" w:tplc="A202B9EE">
      <w:start w:val="1"/>
      <w:numFmt w:val="decimal"/>
      <w:pStyle w:val="Nagowek3"/>
      <w:lvlText w:val="%1."/>
      <w:lvlJc w:val="left"/>
      <w:pPr>
        <w:ind w:left="360" w:hanging="360"/>
      </w:pPr>
      <w:rPr>
        <w:rFonts w:cs="Times New Roman"/>
      </w:rPr>
    </w:lvl>
    <w:lvl w:ilvl="1" w:tplc="80D255CE" w:tentative="1">
      <w:start w:val="1"/>
      <w:numFmt w:val="lowerLetter"/>
      <w:lvlText w:val="%2."/>
      <w:lvlJc w:val="left"/>
      <w:pPr>
        <w:ind w:left="1080" w:hanging="360"/>
      </w:pPr>
      <w:rPr>
        <w:rFonts w:cs="Times New Roman"/>
      </w:rPr>
    </w:lvl>
    <w:lvl w:ilvl="2" w:tplc="4F0A9F5C" w:tentative="1">
      <w:start w:val="1"/>
      <w:numFmt w:val="lowerRoman"/>
      <w:lvlText w:val="%3."/>
      <w:lvlJc w:val="right"/>
      <w:pPr>
        <w:ind w:left="1800" w:hanging="180"/>
      </w:pPr>
      <w:rPr>
        <w:rFonts w:cs="Times New Roman"/>
      </w:rPr>
    </w:lvl>
    <w:lvl w:ilvl="3" w:tplc="FE8AA53E" w:tentative="1">
      <w:start w:val="1"/>
      <w:numFmt w:val="decimal"/>
      <w:lvlText w:val="%4."/>
      <w:lvlJc w:val="left"/>
      <w:pPr>
        <w:ind w:left="2520" w:hanging="360"/>
      </w:pPr>
      <w:rPr>
        <w:rFonts w:cs="Times New Roman"/>
      </w:rPr>
    </w:lvl>
    <w:lvl w:ilvl="4" w:tplc="B4B8A46E" w:tentative="1">
      <w:start w:val="1"/>
      <w:numFmt w:val="lowerLetter"/>
      <w:lvlText w:val="%5."/>
      <w:lvlJc w:val="left"/>
      <w:pPr>
        <w:ind w:left="3240" w:hanging="360"/>
      </w:pPr>
      <w:rPr>
        <w:rFonts w:cs="Times New Roman"/>
      </w:rPr>
    </w:lvl>
    <w:lvl w:ilvl="5" w:tplc="8584AA30" w:tentative="1">
      <w:start w:val="1"/>
      <w:numFmt w:val="lowerRoman"/>
      <w:lvlText w:val="%6."/>
      <w:lvlJc w:val="right"/>
      <w:pPr>
        <w:ind w:left="3960" w:hanging="180"/>
      </w:pPr>
      <w:rPr>
        <w:rFonts w:cs="Times New Roman"/>
      </w:rPr>
    </w:lvl>
    <w:lvl w:ilvl="6" w:tplc="9ED03054" w:tentative="1">
      <w:start w:val="1"/>
      <w:numFmt w:val="decimal"/>
      <w:lvlText w:val="%7."/>
      <w:lvlJc w:val="left"/>
      <w:pPr>
        <w:ind w:left="4680" w:hanging="360"/>
      </w:pPr>
      <w:rPr>
        <w:rFonts w:cs="Times New Roman"/>
      </w:rPr>
    </w:lvl>
    <w:lvl w:ilvl="7" w:tplc="6A141B8C" w:tentative="1">
      <w:start w:val="1"/>
      <w:numFmt w:val="lowerLetter"/>
      <w:lvlText w:val="%8."/>
      <w:lvlJc w:val="left"/>
      <w:pPr>
        <w:ind w:left="5400" w:hanging="360"/>
      </w:pPr>
      <w:rPr>
        <w:rFonts w:cs="Times New Roman"/>
      </w:rPr>
    </w:lvl>
    <w:lvl w:ilvl="8" w:tplc="3CC235BC" w:tentative="1">
      <w:start w:val="1"/>
      <w:numFmt w:val="lowerRoman"/>
      <w:lvlText w:val="%9."/>
      <w:lvlJc w:val="right"/>
      <w:pPr>
        <w:ind w:left="6120" w:hanging="180"/>
      </w:pPr>
      <w:rPr>
        <w:rFonts w:cs="Times New Roman"/>
      </w:rPr>
    </w:lvl>
  </w:abstractNum>
  <w:abstractNum w:abstractNumId="35">
    <w:nsid w:val="5E2B6ABB"/>
    <w:multiLevelType w:val="hybridMultilevel"/>
    <w:tmpl w:val="BF6E7E4A"/>
    <w:lvl w:ilvl="0" w:tplc="04150011">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6">
    <w:nsid w:val="5F1854EB"/>
    <w:multiLevelType w:val="multilevel"/>
    <w:tmpl w:val="BE2E7900"/>
    <w:name w:val="dz_N2"/>
    <w:lvl w:ilvl="0">
      <w:start w:val="1"/>
      <w:numFmt w:val="decimal"/>
      <w:lvlText w:val="%1."/>
      <w:lvlJc w:val="left"/>
      <w:pPr>
        <w:ind w:left="450" w:hanging="450"/>
      </w:pPr>
      <w:rPr>
        <w:rFonts w:cs="Times New Roman" w:hint="default"/>
        <w:color w:val="auto"/>
      </w:rPr>
    </w:lvl>
    <w:lvl w:ilvl="1">
      <w:start w:val="1"/>
      <w:numFmt w:val="decimal"/>
      <w:lvlText w:val="%1.%2."/>
      <w:lvlJc w:val="left"/>
      <w:pPr>
        <w:ind w:left="720" w:hanging="72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440" w:hanging="144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2160" w:hanging="216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7">
    <w:nsid w:val="64543C54"/>
    <w:multiLevelType w:val="hybridMultilevel"/>
    <w:tmpl w:val="6E80B436"/>
    <w:lvl w:ilvl="0" w:tplc="631227A0">
      <w:start w:val="1"/>
      <w:numFmt w:val="bullet"/>
      <w:pStyle w:val="Punktor0"/>
      <w:lvlText w:val=""/>
      <w:lvlJc w:val="left"/>
      <w:pPr>
        <w:ind w:left="786" w:hanging="360"/>
      </w:pPr>
      <w:rPr>
        <w:rFonts w:ascii="Symbol" w:hAnsi="Symbol" w:hint="default"/>
      </w:rPr>
    </w:lvl>
    <w:lvl w:ilvl="1" w:tplc="04150019">
      <w:start w:val="1"/>
      <w:numFmt w:val="bullet"/>
      <w:lvlText w:val="o"/>
      <w:lvlJc w:val="left"/>
      <w:pPr>
        <w:ind w:left="1440" w:hanging="360"/>
      </w:pPr>
      <w:rPr>
        <w:rFonts w:ascii="Courier New" w:hAnsi="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38">
    <w:nsid w:val="6AA87D53"/>
    <w:multiLevelType w:val="singleLevel"/>
    <w:tmpl w:val="4F4ED812"/>
    <w:lvl w:ilvl="0">
      <w:start w:val="1"/>
      <w:numFmt w:val="bullet"/>
      <w:pStyle w:val="astrzaa"/>
      <w:lvlText w:val=""/>
      <w:lvlJc w:val="left"/>
      <w:pPr>
        <w:tabs>
          <w:tab w:val="num" w:pos="360"/>
        </w:tabs>
        <w:ind w:left="360" w:hanging="360"/>
      </w:pPr>
      <w:rPr>
        <w:rFonts w:ascii="Wingdings" w:hAnsi="Wingdings" w:hint="default"/>
      </w:rPr>
    </w:lvl>
  </w:abstractNum>
  <w:abstractNum w:abstractNumId="39">
    <w:nsid w:val="6DCF5C7C"/>
    <w:multiLevelType w:val="multilevel"/>
    <w:tmpl w:val="5B1256A0"/>
    <w:styleLink w:val="magda1"/>
    <w:lvl w:ilvl="0">
      <w:start w:val="1"/>
      <w:numFmt w:val="lowerLetter"/>
      <w:lvlText w:val="%1)"/>
      <w:lvlJc w:val="left"/>
      <w:pPr>
        <w:ind w:left="1080" w:hanging="360"/>
      </w:pPr>
      <w:rPr>
        <w:rFonts w:cs="Times New Roman" w:hint="default"/>
      </w:rPr>
    </w:lvl>
    <w:lvl w:ilvl="1">
      <w:start w:val="1"/>
      <w:numFmt w:val="bullet"/>
      <w:lvlText w:val=""/>
      <w:lvlJc w:val="left"/>
      <w:pPr>
        <w:ind w:left="1440" w:hanging="360"/>
      </w:pPr>
      <w:rPr>
        <w:rFonts w:ascii="Symbol" w:hAnsi="Symbol" w:hint="default"/>
        <w:color w:val="auto"/>
      </w:rPr>
    </w:lvl>
    <w:lvl w:ilvl="2">
      <w:start w:val="1"/>
      <w:numFmt w:val="none"/>
      <w:lvlText w:val="%3"/>
      <w:lvlJc w:val="left"/>
      <w:pPr>
        <w:ind w:left="1134"/>
      </w:pPr>
      <w:rPr>
        <w:rFonts w:ascii="Arial" w:hAnsi="Arial" w:cs="Times New Roman" w:hint="default"/>
        <w:color w:val="auto"/>
        <w:sz w:val="22"/>
      </w:rPr>
    </w:lvl>
    <w:lvl w:ilvl="3">
      <w:start w:val="1"/>
      <w:numFmt w:val="bullet"/>
      <w:lvlText w:val=""/>
      <w:lvlJc w:val="left"/>
      <w:pPr>
        <w:ind w:left="2160" w:hanging="360"/>
      </w:pPr>
      <w:rPr>
        <w:rFonts w:ascii="Symbol" w:hAnsi="Symbol" w:hint="default"/>
        <w:color w:val="auto"/>
      </w:rPr>
    </w:lvl>
    <w:lvl w:ilvl="4">
      <w:start w:val="1"/>
      <w:numFmt w:val="lowerLetter"/>
      <w:lvlText w:val="(%5)"/>
      <w:lvlJc w:val="left"/>
      <w:pPr>
        <w:ind w:left="2520" w:hanging="360"/>
      </w:pPr>
      <w:rPr>
        <w:rFonts w:cs="Times New Roman" w:hint="default"/>
      </w:rPr>
    </w:lvl>
    <w:lvl w:ilvl="5">
      <w:start w:val="1"/>
      <w:numFmt w:val="lowerRoman"/>
      <w:lvlText w:val="(%6)"/>
      <w:lvlJc w:val="left"/>
      <w:pPr>
        <w:ind w:left="2880" w:hanging="360"/>
      </w:pPr>
      <w:rPr>
        <w:rFonts w:cs="Times New Roman" w:hint="default"/>
      </w:rPr>
    </w:lvl>
    <w:lvl w:ilvl="6">
      <w:start w:val="1"/>
      <w:numFmt w:val="decimal"/>
      <w:lvlText w:val="%7."/>
      <w:lvlJc w:val="left"/>
      <w:pPr>
        <w:ind w:left="3240" w:hanging="360"/>
      </w:pPr>
      <w:rPr>
        <w:rFonts w:cs="Times New Roman" w:hint="default"/>
      </w:rPr>
    </w:lvl>
    <w:lvl w:ilvl="7">
      <w:start w:val="1"/>
      <w:numFmt w:val="lowerLetter"/>
      <w:lvlText w:val="%8."/>
      <w:lvlJc w:val="left"/>
      <w:pPr>
        <w:ind w:left="3600" w:hanging="360"/>
      </w:pPr>
      <w:rPr>
        <w:rFonts w:cs="Times New Roman" w:hint="default"/>
      </w:rPr>
    </w:lvl>
    <w:lvl w:ilvl="8">
      <w:start w:val="1"/>
      <w:numFmt w:val="lowerRoman"/>
      <w:lvlText w:val="%9."/>
      <w:lvlJc w:val="left"/>
      <w:pPr>
        <w:ind w:left="3960" w:hanging="360"/>
      </w:pPr>
      <w:rPr>
        <w:rFonts w:cs="Times New Roman" w:hint="default"/>
      </w:rPr>
    </w:lvl>
  </w:abstractNum>
  <w:abstractNum w:abstractNumId="40">
    <w:nsid w:val="70401A3D"/>
    <w:multiLevelType w:val="hybridMultilevel"/>
    <w:tmpl w:val="BCA45568"/>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abstractNum w:abstractNumId="41">
    <w:nsid w:val="710A6506"/>
    <w:multiLevelType w:val="hybridMultilevel"/>
    <w:tmpl w:val="A9EC454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2">
    <w:nsid w:val="71F22CEA"/>
    <w:multiLevelType w:val="multilevel"/>
    <w:tmpl w:val="0415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43">
    <w:nsid w:val="724E5822"/>
    <w:multiLevelType w:val="hybridMultilevel"/>
    <w:tmpl w:val="C64E47A6"/>
    <w:lvl w:ilvl="0" w:tplc="2ECA831A">
      <w:start w:val="1"/>
      <w:numFmt w:val="decimal"/>
      <w:pStyle w:val="nagwek1Kra"/>
      <w:lvlText w:val="%1."/>
      <w:lvlJc w:val="left"/>
      <w:pPr>
        <w:ind w:left="720" w:hanging="360"/>
      </w:pPr>
      <w:rPr>
        <w:rFonts w:ascii="Trebuchet MS" w:hAnsi="Trebuchet MS" w:cs="Times New Roman" w:hint="default"/>
        <w:b/>
        <w:i w:val="0"/>
        <w:position w:val="0"/>
        <w:sz w:val="28"/>
      </w:rPr>
    </w:lvl>
    <w:lvl w:ilvl="1" w:tplc="24BC8F06" w:tentative="1">
      <w:start w:val="1"/>
      <w:numFmt w:val="lowerLetter"/>
      <w:lvlText w:val="%2."/>
      <w:lvlJc w:val="left"/>
      <w:pPr>
        <w:ind w:left="1440" w:hanging="360"/>
      </w:pPr>
      <w:rPr>
        <w:rFonts w:cs="Times New Roman"/>
      </w:rPr>
    </w:lvl>
    <w:lvl w:ilvl="2" w:tplc="71F64B1A" w:tentative="1">
      <w:start w:val="1"/>
      <w:numFmt w:val="lowerRoman"/>
      <w:lvlText w:val="%3."/>
      <w:lvlJc w:val="right"/>
      <w:pPr>
        <w:ind w:left="2160" w:hanging="180"/>
      </w:pPr>
      <w:rPr>
        <w:rFonts w:cs="Times New Roman"/>
      </w:rPr>
    </w:lvl>
    <w:lvl w:ilvl="3" w:tplc="92B22D76" w:tentative="1">
      <w:start w:val="1"/>
      <w:numFmt w:val="decimal"/>
      <w:lvlText w:val="%4."/>
      <w:lvlJc w:val="left"/>
      <w:pPr>
        <w:ind w:left="2880" w:hanging="360"/>
      </w:pPr>
      <w:rPr>
        <w:rFonts w:cs="Times New Roman"/>
      </w:rPr>
    </w:lvl>
    <w:lvl w:ilvl="4" w:tplc="554CD0B0" w:tentative="1">
      <w:start w:val="1"/>
      <w:numFmt w:val="lowerLetter"/>
      <w:lvlText w:val="%5."/>
      <w:lvlJc w:val="left"/>
      <w:pPr>
        <w:ind w:left="3600" w:hanging="360"/>
      </w:pPr>
      <w:rPr>
        <w:rFonts w:cs="Times New Roman"/>
      </w:rPr>
    </w:lvl>
    <w:lvl w:ilvl="5" w:tplc="97B468A6" w:tentative="1">
      <w:start w:val="1"/>
      <w:numFmt w:val="lowerRoman"/>
      <w:lvlText w:val="%6."/>
      <w:lvlJc w:val="right"/>
      <w:pPr>
        <w:ind w:left="4320" w:hanging="180"/>
      </w:pPr>
      <w:rPr>
        <w:rFonts w:cs="Times New Roman"/>
      </w:rPr>
    </w:lvl>
    <w:lvl w:ilvl="6" w:tplc="4708859A" w:tentative="1">
      <w:start w:val="1"/>
      <w:numFmt w:val="decimal"/>
      <w:lvlText w:val="%7."/>
      <w:lvlJc w:val="left"/>
      <w:pPr>
        <w:ind w:left="5040" w:hanging="360"/>
      </w:pPr>
      <w:rPr>
        <w:rFonts w:cs="Times New Roman"/>
      </w:rPr>
    </w:lvl>
    <w:lvl w:ilvl="7" w:tplc="046268E8" w:tentative="1">
      <w:start w:val="1"/>
      <w:numFmt w:val="lowerLetter"/>
      <w:lvlText w:val="%8."/>
      <w:lvlJc w:val="left"/>
      <w:pPr>
        <w:ind w:left="5760" w:hanging="360"/>
      </w:pPr>
      <w:rPr>
        <w:rFonts w:cs="Times New Roman"/>
      </w:rPr>
    </w:lvl>
    <w:lvl w:ilvl="8" w:tplc="ECA4158C" w:tentative="1">
      <w:start w:val="1"/>
      <w:numFmt w:val="lowerRoman"/>
      <w:lvlText w:val="%9."/>
      <w:lvlJc w:val="right"/>
      <w:pPr>
        <w:ind w:left="6480" w:hanging="180"/>
      </w:pPr>
      <w:rPr>
        <w:rFonts w:cs="Times New Roman"/>
      </w:rPr>
    </w:lvl>
  </w:abstractNum>
  <w:abstractNum w:abstractNumId="44">
    <w:nsid w:val="78CB57B5"/>
    <w:multiLevelType w:val="multilevel"/>
    <w:tmpl w:val="D0FE6104"/>
    <w:lvl w:ilvl="0">
      <w:start w:val="1"/>
      <w:numFmt w:val="decimal"/>
      <w:pStyle w:val="nagwek3Kra"/>
      <w:lvlText w:val="%1."/>
      <w:lvlJc w:val="left"/>
      <w:pPr>
        <w:ind w:left="1068" w:hanging="360"/>
      </w:pPr>
      <w:rPr>
        <w:rFonts w:ascii="Trebuchet MS" w:hAnsi="Trebuchet MS" w:cs="Times New Roman" w:hint="default"/>
        <w:b/>
        <w:i/>
        <w:color w:val="FFFFFF"/>
        <w:position w:val="0"/>
        <w:sz w:val="20"/>
      </w:rPr>
    </w:lvl>
    <w:lvl w:ilvl="1">
      <w:start w:val="1"/>
      <w:numFmt w:val="decimal"/>
      <w:isLgl/>
      <w:lvlText w:val="%1.%2."/>
      <w:lvlJc w:val="left"/>
      <w:pPr>
        <w:ind w:left="1428" w:hanging="720"/>
      </w:pPr>
      <w:rPr>
        <w:rFonts w:cs="Times New Roman" w:hint="default"/>
        <w:b/>
        <w:color w:val="333366"/>
      </w:rPr>
    </w:lvl>
    <w:lvl w:ilvl="2">
      <w:start w:val="1"/>
      <w:numFmt w:val="decimal"/>
      <w:isLgl/>
      <w:lvlText w:val="%1.%2.%3."/>
      <w:lvlJc w:val="left"/>
      <w:pPr>
        <w:ind w:left="1788" w:hanging="1080"/>
      </w:pPr>
      <w:rPr>
        <w:rFonts w:cs="Times New Roman" w:hint="default"/>
        <w:b/>
        <w:color w:val="333366"/>
      </w:rPr>
    </w:lvl>
    <w:lvl w:ilvl="3">
      <w:start w:val="1"/>
      <w:numFmt w:val="decimal"/>
      <w:isLgl/>
      <w:lvlText w:val="%1.%2.%3.%4."/>
      <w:lvlJc w:val="left"/>
      <w:pPr>
        <w:ind w:left="1788" w:hanging="1080"/>
      </w:pPr>
      <w:rPr>
        <w:rFonts w:cs="Times New Roman" w:hint="default"/>
        <w:b/>
        <w:color w:val="333366"/>
      </w:rPr>
    </w:lvl>
    <w:lvl w:ilvl="4">
      <w:start w:val="1"/>
      <w:numFmt w:val="decimal"/>
      <w:isLgl/>
      <w:lvlText w:val="%1.%2.%3.%4.%5."/>
      <w:lvlJc w:val="left"/>
      <w:pPr>
        <w:ind w:left="2148" w:hanging="1440"/>
      </w:pPr>
      <w:rPr>
        <w:rFonts w:cs="Times New Roman" w:hint="default"/>
        <w:b/>
        <w:color w:val="333366"/>
      </w:rPr>
    </w:lvl>
    <w:lvl w:ilvl="5">
      <w:start w:val="1"/>
      <w:numFmt w:val="decimal"/>
      <w:isLgl/>
      <w:lvlText w:val="%1.%2.%3.%4.%5.%6."/>
      <w:lvlJc w:val="left"/>
      <w:pPr>
        <w:ind w:left="2508" w:hanging="1800"/>
      </w:pPr>
      <w:rPr>
        <w:rFonts w:cs="Times New Roman" w:hint="default"/>
        <w:b/>
        <w:color w:val="333366"/>
      </w:rPr>
    </w:lvl>
    <w:lvl w:ilvl="6">
      <w:start w:val="1"/>
      <w:numFmt w:val="decimal"/>
      <w:isLgl/>
      <w:lvlText w:val="%1.%2.%3.%4.%5.%6.%7."/>
      <w:lvlJc w:val="left"/>
      <w:pPr>
        <w:ind w:left="2868" w:hanging="2160"/>
      </w:pPr>
      <w:rPr>
        <w:rFonts w:cs="Times New Roman" w:hint="default"/>
        <w:b/>
        <w:color w:val="333366"/>
      </w:rPr>
    </w:lvl>
    <w:lvl w:ilvl="7">
      <w:start w:val="1"/>
      <w:numFmt w:val="decimal"/>
      <w:isLgl/>
      <w:lvlText w:val="%1.%2.%3.%4.%5.%6.%7.%8."/>
      <w:lvlJc w:val="left"/>
      <w:pPr>
        <w:ind w:left="2868" w:hanging="2160"/>
      </w:pPr>
      <w:rPr>
        <w:rFonts w:cs="Times New Roman" w:hint="default"/>
        <w:b/>
        <w:color w:val="333366"/>
      </w:rPr>
    </w:lvl>
    <w:lvl w:ilvl="8">
      <w:start w:val="1"/>
      <w:numFmt w:val="decimal"/>
      <w:isLgl/>
      <w:lvlText w:val="%1.%2.%3.%4.%5.%6.%7.%8.%9."/>
      <w:lvlJc w:val="left"/>
      <w:pPr>
        <w:ind w:left="3228" w:hanging="2520"/>
      </w:pPr>
      <w:rPr>
        <w:rFonts w:cs="Times New Roman" w:hint="default"/>
        <w:b/>
        <w:color w:val="333366"/>
      </w:rPr>
    </w:lvl>
  </w:abstractNum>
  <w:abstractNum w:abstractNumId="45">
    <w:nsid w:val="7ECE752B"/>
    <w:multiLevelType w:val="hybridMultilevel"/>
    <w:tmpl w:val="66D227EC"/>
    <w:lvl w:ilvl="0" w:tplc="021426DC">
      <w:start w:val="1"/>
      <w:numFmt w:val="bullet"/>
      <w:lvlText w:val=""/>
      <w:lvlJc w:val="left"/>
      <w:pPr>
        <w:ind w:left="1212" w:hanging="360"/>
      </w:pPr>
      <w:rPr>
        <w:rFonts w:ascii="Symbol" w:hAnsi="Symbol" w:hint="default"/>
      </w:rPr>
    </w:lvl>
    <w:lvl w:ilvl="1" w:tplc="04150003" w:tentative="1">
      <w:start w:val="1"/>
      <w:numFmt w:val="bullet"/>
      <w:lvlText w:val="o"/>
      <w:lvlJc w:val="left"/>
      <w:pPr>
        <w:ind w:left="1932" w:hanging="360"/>
      </w:pPr>
      <w:rPr>
        <w:rFonts w:ascii="Courier New" w:hAnsi="Courier New" w:hint="default"/>
      </w:rPr>
    </w:lvl>
    <w:lvl w:ilvl="2" w:tplc="04150005" w:tentative="1">
      <w:start w:val="1"/>
      <w:numFmt w:val="bullet"/>
      <w:lvlText w:val=""/>
      <w:lvlJc w:val="left"/>
      <w:pPr>
        <w:ind w:left="2652" w:hanging="360"/>
      </w:pPr>
      <w:rPr>
        <w:rFonts w:ascii="Wingdings" w:hAnsi="Wingdings" w:hint="default"/>
      </w:rPr>
    </w:lvl>
    <w:lvl w:ilvl="3" w:tplc="04150001" w:tentative="1">
      <w:start w:val="1"/>
      <w:numFmt w:val="bullet"/>
      <w:lvlText w:val=""/>
      <w:lvlJc w:val="left"/>
      <w:pPr>
        <w:ind w:left="3372" w:hanging="360"/>
      </w:pPr>
      <w:rPr>
        <w:rFonts w:ascii="Symbol" w:hAnsi="Symbol" w:hint="default"/>
      </w:rPr>
    </w:lvl>
    <w:lvl w:ilvl="4" w:tplc="04150003" w:tentative="1">
      <w:start w:val="1"/>
      <w:numFmt w:val="bullet"/>
      <w:lvlText w:val="o"/>
      <w:lvlJc w:val="left"/>
      <w:pPr>
        <w:ind w:left="4092" w:hanging="360"/>
      </w:pPr>
      <w:rPr>
        <w:rFonts w:ascii="Courier New" w:hAnsi="Courier New" w:hint="default"/>
      </w:rPr>
    </w:lvl>
    <w:lvl w:ilvl="5" w:tplc="04150005" w:tentative="1">
      <w:start w:val="1"/>
      <w:numFmt w:val="bullet"/>
      <w:lvlText w:val=""/>
      <w:lvlJc w:val="left"/>
      <w:pPr>
        <w:ind w:left="4812" w:hanging="360"/>
      </w:pPr>
      <w:rPr>
        <w:rFonts w:ascii="Wingdings" w:hAnsi="Wingdings" w:hint="default"/>
      </w:rPr>
    </w:lvl>
    <w:lvl w:ilvl="6" w:tplc="04150001" w:tentative="1">
      <w:start w:val="1"/>
      <w:numFmt w:val="bullet"/>
      <w:lvlText w:val=""/>
      <w:lvlJc w:val="left"/>
      <w:pPr>
        <w:ind w:left="5532" w:hanging="360"/>
      </w:pPr>
      <w:rPr>
        <w:rFonts w:ascii="Symbol" w:hAnsi="Symbol" w:hint="default"/>
      </w:rPr>
    </w:lvl>
    <w:lvl w:ilvl="7" w:tplc="04150003" w:tentative="1">
      <w:start w:val="1"/>
      <w:numFmt w:val="bullet"/>
      <w:lvlText w:val="o"/>
      <w:lvlJc w:val="left"/>
      <w:pPr>
        <w:ind w:left="6252" w:hanging="360"/>
      </w:pPr>
      <w:rPr>
        <w:rFonts w:ascii="Courier New" w:hAnsi="Courier New" w:hint="default"/>
      </w:rPr>
    </w:lvl>
    <w:lvl w:ilvl="8" w:tplc="04150005" w:tentative="1">
      <w:start w:val="1"/>
      <w:numFmt w:val="bullet"/>
      <w:lvlText w:val=""/>
      <w:lvlJc w:val="left"/>
      <w:pPr>
        <w:ind w:left="6972" w:hanging="360"/>
      </w:pPr>
      <w:rPr>
        <w:rFonts w:ascii="Wingdings" w:hAnsi="Wingdings" w:hint="default"/>
      </w:rPr>
    </w:lvl>
  </w:abstractNum>
  <w:num w:numId="1">
    <w:abstractNumId w:val="0"/>
  </w:num>
  <w:num w:numId="2">
    <w:abstractNumId w:val="0"/>
  </w:num>
  <w:num w:numId="3">
    <w:abstractNumId w:val="0"/>
  </w:num>
  <w:num w:numId="4">
    <w:abstractNumId w:val="0"/>
  </w:num>
  <w:num w:numId="5">
    <w:abstractNumId w:val="0"/>
  </w:num>
  <w:num w:numId="6">
    <w:abstractNumId w:val="21"/>
  </w:num>
  <w:num w:numId="7">
    <w:abstractNumId w:val="25"/>
  </w:num>
  <w:num w:numId="8">
    <w:abstractNumId w:val="13"/>
  </w:num>
  <w:num w:numId="9">
    <w:abstractNumId w:val="16"/>
  </w:num>
  <w:num w:numId="10">
    <w:abstractNumId w:val="38"/>
  </w:num>
  <w:num w:numId="11">
    <w:abstractNumId w:val="29"/>
  </w:num>
  <w:num w:numId="12">
    <w:abstractNumId w:val="42"/>
  </w:num>
  <w:num w:numId="13">
    <w:abstractNumId w:val="5"/>
  </w:num>
  <w:num w:numId="14">
    <w:abstractNumId w:val="39"/>
  </w:num>
  <w:num w:numId="15">
    <w:abstractNumId w:val="34"/>
  </w:num>
  <w:num w:numId="16">
    <w:abstractNumId w:val="43"/>
  </w:num>
  <w:num w:numId="17">
    <w:abstractNumId w:val="12"/>
  </w:num>
  <w:num w:numId="18">
    <w:abstractNumId w:val="44"/>
  </w:num>
  <w:num w:numId="19">
    <w:abstractNumId w:val="28"/>
  </w:num>
  <w:num w:numId="20">
    <w:abstractNumId w:val="30"/>
  </w:num>
  <w:num w:numId="21">
    <w:abstractNumId w:val="19"/>
  </w:num>
  <w:num w:numId="22">
    <w:abstractNumId w:val="32"/>
  </w:num>
  <w:num w:numId="23">
    <w:abstractNumId w:val="17"/>
  </w:num>
  <w:num w:numId="24">
    <w:abstractNumId w:val="37"/>
  </w:num>
  <w:num w:numId="25">
    <w:abstractNumId w:val="24"/>
  </w:num>
  <w:num w:numId="26">
    <w:abstractNumId w:val="22"/>
  </w:num>
  <w:num w:numId="27">
    <w:abstractNumId w:val="11"/>
  </w:num>
  <w:num w:numId="2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5"/>
  </w:num>
  <w:num w:numId="30">
    <w:abstractNumId w:val="2"/>
  </w:num>
  <w:num w:numId="31">
    <w:abstractNumId w:val="41"/>
  </w:num>
  <w:num w:numId="32">
    <w:abstractNumId w:val="27"/>
  </w:num>
  <w:num w:numId="33">
    <w:abstractNumId w:val="3"/>
  </w:num>
  <w:num w:numId="34">
    <w:abstractNumId w:val="14"/>
  </w:num>
  <w:num w:numId="35">
    <w:abstractNumId w:val="33"/>
  </w:num>
  <w:num w:numId="36">
    <w:abstractNumId w:val="20"/>
  </w:num>
  <w:num w:numId="37">
    <w:abstractNumId w:val="45"/>
  </w:num>
  <w:num w:numId="38">
    <w:abstractNumId w:val="18"/>
  </w:num>
  <w:num w:numId="39">
    <w:abstractNumId w:val="26"/>
  </w:num>
  <w:num w:numId="40">
    <w:abstractNumId w:val="23"/>
  </w:num>
  <w:num w:numId="41">
    <w:abstractNumId w:val="9"/>
  </w:num>
  <w:num w:numId="42">
    <w:abstractNumId w:val="4"/>
  </w:num>
  <w:num w:numId="43">
    <w:abstractNumId w:val="4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8"/>
  </w:num>
  <w:num w:numId="46">
    <w:abstractNumId w:val="10"/>
  </w:num>
  <w:num w:numId="47">
    <w:abstractNumId w:val="1"/>
  </w:num>
  <w:num w:numId="48">
    <w:abstractNumId w:val="7"/>
  </w:num>
  <w:num w:numId="49">
    <w:abstractNumId w:val="31"/>
  </w:num>
  <w:num w:numId="50">
    <w:abstractNumId w:val="6"/>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mirrorMargin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evenAndOddHeaders/>
  <w:drawingGridHorizontalSpacing w:val="120"/>
  <w:displayHorizontalDrawingGridEvery w:val="2"/>
  <w:characterSpacingControl w:val="doNotCompress"/>
  <w:hdrShapeDefaults>
    <o:shapedefaults v:ext="edit" spidmax="2054"/>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96401"/>
    <w:rsid w:val="00000093"/>
    <w:rsid w:val="000012EC"/>
    <w:rsid w:val="000013CA"/>
    <w:rsid w:val="0000143F"/>
    <w:rsid w:val="00001A05"/>
    <w:rsid w:val="00001F29"/>
    <w:rsid w:val="0000253A"/>
    <w:rsid w:val="0000273E"/>
    <w:rsid w:val="00002821"/>
    <w:rsid w:val="00002947"/>
    <w:rsid w:val="00002EE4"/>
    <w:rsid w:val="00003019"/>
    <w:rsid w:val="000032F2"/>
    <w:rsid w:val="00003F46"/>
    <w:rsid w:val="00003FAB"/>
    <w:rsid w:val="000051F2"/>
    <w:rsid w:val="000054B9"/>
    <w:rsid w:val="000055CE"/>
    <w:rsid w:val="00005D2F"/>
    <w:rsid w:val="00005D30"/>
    <w:rsid w:val="000062DD"/>
    <w:rsid w:val="00007501"/>
    <w:rsid w:val="0000797A"/>
    <w:rsid w:val="00007C86"/>
    <w:rsid w:val="00007D78"/>
    <w:rsid w:val="000101F6"/>
    <w:rsid w:val="00010D87"/>
    <w:rsid w:val="0001133B"/>
    <w:rsid w:val="000116AA"/>
    <w:rsid w:val="0001197B"/>
    <w:rsid w:val="00011B13"/>
    <w:rsid w:val="00011B55"/>
    <w:rsid w:val="00011FB9"/>
    <w:rsid w:val="000129CF"/>
    <w:rsid w:val="0001377B"/>
    <w:rsid w:val="00013A65"/>
    <w:rsid w:val="00013F43"/>
    <w:rsid w:val="00013F64"/>
    <w:rsid w:val="0001411D"/>
    <w:rsid w:val="0001419D"/>
    <w:rsid w:val="000142E0"/>
    <w:rsid w:val="00014856"/>
    <w:rsid w:val="00014DC3"/>
    <w:rsid w:val="00014DE4"/>
    <w:rsid w:val="0001501E"/>
    <w:rsid w:val="00015032"/>
    <w:rsid w:val="0001505F"/>
    <w:rsid w:val="00015370"/>
    <w:rsid w:val="00015C25"/>
    <w:rsid w:val="00015F9C"/>
    <w:rsid w:val="000164E6"/>
    <w:rsid w:val="0001728A"/>
    <w:rsid w:val="00017388"/>
    <w:rsid w:val="0001772D"/>
    <w:rsid w:val="00017F1C"/>
    <w:rsid w:val="00017F74"/>
    <w:rsid w:val="0002066A"/>
    <w:rsid w:val="00020A00"/>
    <w:rsid w:val="00021282"/>
    <w:rsid w:val="000217B1"/>
    <w:rsid w:val="00021CDA"/>
    <w:rsid w:val="00022C3D"/>
    <w:rsid w:val="00022DCF"/>
    <w:rsid w:val="000231D9"/>
    <w:rsid w:val="00023E0A"/>
    <w:rsid w:val="000240C7"/>
    <w:rsid w:val="00024183"/>
    <w:rsid w:val="0002459B"/>
    <w:rsid w:val="00024A2C"/>
    <w:rsid w:val="00024B1F"/>
    <w:rsid w:val="00026271"/>
    <w:rsid w:val="00026B95"/>
    <w:rsid w:val="00026D7B"/>
    <w:rsid w:val="0002752B"/>
    <w:rsid w:val="00030068"/>
    <w:rsid w:val="0003046A"/>
    <w:rsid w:val="000318CF"/>
    <w:rsid w:val="00032005"/>
    <w:rsid w:val="00032026"/>
    <w:rsid w:val="00032292"/>
    <w:rsid w:val="00033058"/>
    <w:rsid w:val="00033590"/>
    <w:rsid w:val="0003506A"/>
    <w:rsid w:val="00035773"/>
    <w:rsid w:val="00036F7A"/>
    <w:rsid w:val="000371E6"/>
    <w:rsid w:val="0004004F"/>
    <w:rsid w:val="000405AA"/>
    <w:rsid w:val="000410FE"/>
    <w:rsid w:val="0004140C"/>
    <w:rsid w:val="00042485"/>
    <w:rsid w:val="000424F4"/>
    <w:rsid w:val="00042E82"/>
    <w:rsid w:val="000430CE"/>
    <w:rsid w:val="00043629"/>
    <w:rsid w:val="00043C63"/>
    <w:rsid w:val="000446E9"/>
    <w:rsid w:val="00044EF1"/>
    <w:rsid w:val="0004517A"/>
    <w:rsid w:val="000459E3"/>
    <w:rsid w:val="000468E6"/>
    <w:rsid w:val="00047165"/>
    <w:rsid w:val="000471AF"/>
    <w:rsid w:val="000477E0"/>
    <w:rsid w:val="000479AA"/>
    <w:rsid w:val="00047B5E"/>
    <w:rsid w:val="00047BA9"/>
    <w:rsid w:val="00047D09"/>
    <w:rsid w:val="00050674"/>
    <w:rsid w:val="00050922"/>
    <w:rsid w:val="000518C6"/>
    <w:rsid w:val="00052291"/>
    <w:rsid w:val="0005318D"/>
    <w:rsid w:val="0005386E"/>
    <w:rsid w:val="00053F6F"/>
    <w:rsid w:val="00054541"/>
    <w:rsid w:val="000546AD"/>
    <w:rsid w:val="000546BF"/>
    <w:rsid w:val="00054B89"/>
    <w:rsid w:val="00055016"/>
    <w:rsid w:val="00055DD8"/>
    <w:rsid w:val="0005600A"/>
    <w:rsid w:val="00056236"/>
    <w:rsid w:val="000562E7"/>
    <w:rsid w:val="000565D3"/>
    <w:rsid w:val="000566C2"/>
    <w:rsid w:val="00056DF1"/>
    <w:rsid w:val="00056E4A"/>
    <w:rsid w:val="00057110"/>
    <w:rsid w:val="0005717E"/>
    <w:rsid w:val="00057525"/>
    <w:rsid w:val="0005798D"/>
    <w:rsid w:val="00057CF4"/>
    <w:rsid w:val="000617A9"/>
    <w:rsid w:val="000623D3"/>
    <w:rsid w:val="0006263F"/>
    <w:rsid w:val="00062E6E"/>
    <w:rsid w:val="00063712"/>
    <w:rsid w:val="00063A35"/>
    <w:rsid w:val="00063C20"/>
    <w:rsid w:val="00063C6F"/>
    <w:rsid w:val="00064140"/>
    <w:rsid w:val="00064F32"/>
    <w:rsid w:val="000652DB"/>
    <w:rsid w:val="0006553C"/>
    <w:rsid w:val="00065B9D"/>
    <w:rsid w:val="00066154"/>
    <w:rsid w:val="0006627B"/>
    <w:rsid w:val="000665F6"/>
    <w:rsid w:val="000669DB"/>
    <w:rsid w:val="00067412"/>
    <w:rsid w:val="000677C3"/>
    <w:rsid w:val="00070027"/>
    <w:rsid w:val="00070262"/>
    <w:rsid w:val="00070DDE"/>
    <w:rsid w:val="00070F81"/>
    <w:rsid w:val="0007112C"/>
    <w:rsid w:val="00071269"/>
    <w:rsid w:val="000714D7"/>
    <w:rsid w:val="00071F15"/>
    <w:rsid w:val="00072052"/>
    <w:rsid w:val="000728AA"/>
    <w:rsid w:val="00073070"/>
    <w:rsid w:val="000731E2"/>
    <w:rsid w:val="000735F6"/>
    <w:rsid w:val="00073EB9"/>
    <w:rsid w:val="00074357"/>
    <w:rsid w:val="000745EB"/>
    <w:rsid w:val="00074A34"/>
    <w:rsid w:val="00074FEB"/>
    <w:rsid w:val="000758CB"/>
    <w:rsid w:val="000759E0"/>
    <w:rsid w:val="00075D1D"/>
    <w:rsid w:val="000764A6"/>
    <w:rsid w:val="000764C0"/>
    <w:rsid w:val="0007675D"/>
    <w:rsid w:val="0007691B"/>
    <w:rsid w:val="00076D12"/>
    <w:rsid w:val="0007755B"/>
    <w:rsid w:val="00077D90"/>
    <w:rsid w:val="00077E65"/>
    <w:rsid w:val="0008025D"/>
    <w:rsid w:val="000804A7"/>
    <w:rsid w:val="00080601"/>
    <w:rsid w:val="0008072A"/>
    <w:rsid w:val="00081413"/>
    <w:rsid w:val="00081B0D"/>
    <w:rsid w:val="0008218B"/>
    <w:rsid w:val="000824F4"/>
    <w:rsid w:val="0008260B"/>
    <w:rsid w:val="000829CE"/>
    <w:rsid w:val="00082DF3"/>
    <w:rsid w:val="000831FF"/>
    <w:rsid w:val="00083501"/>
    <w:rsid w:val="000839C7"/>
    <w:rsid w:val="00083AD2"/>
    <w:rsid w:val="00084219"/>
    <w:rsid w:val="000842CA"/>
    <w:rsid w:val="00084E25"/>
    <w:rsid w:val="0008507D"/>
    <w:rsid w:val="0008541F"/>
    <w:rsid w:val="00085817"/>
    <w:rsid w:val="00085D70"/>
    <w:rsid w:val="00086821"/>
    <w:rsid w:val="00086C46"/>
    <w:rsid w:val="000873F5"/>
    <w:rsid w:val="0008755E"/>
    <w:rsid w:val="000902FB"/>
    <w:rsid w:val="000904C6"/>
    <w:rsid w:val="00090CF3"/>
    <w:rsid w:val="00091390"/>
    <w:rsid w:val="00091982"/>
    <w:rsid w:val="000925D5"/>
    <w:rsid w:val="0009297F"/>
    <w:rsid w:val="00092DAE"/>
    <w:rsid w:val="00092FE0"/>
    <w:rsid w:val="00093897"/>
    <w:rsid w:val="00093CB2"/>
    <w:rsid w:val="00093D5F"/>
    <w:rsid w:val="000946EA"/>
    <w:rsid w:val="000947D1"/>
    <w:rsid w:val="00094D70"/>
    <w:rsid w:val="0009508B"/>
    <w:rsid w:val="00095349"/>
    <w:rsid w:val="000954C0"/>
    <w:rsid w:val="00095569"/>
    <w:rsid w:val="00096B0E"/>
    <w:rsid w:val="0009711F"/>
    <w:rsid w:val="0009748C"/>
    <w:rsid w:val="00097718"/>
    <w:rsid w:val="00097C4A"/>
    <w:rsid w:val="00097D8A"/>
    <w:rsid w:val="000A0AB7"/>
    <w:rsid w:val="000A119B"/>
    <w:rsid w:val="000A11DA"/>
    <w:rsid w:val="000A1BC7"/>
    <w:rsid w:val="000A1C94"/>
    <w:rsid w:val="000A1D69"/>
    <w:rsid w:val="000A1FB0"/>
    <w:rsid w:val="000A29AE"/>
    <w:rsid w:val="000A2A04"/>
    <w:rsid w:val="000A32D5"/>
    <w:rsid w:val="000A3979"/>
    <w:rsid w:val="000A51F9"/>
    <w:rsid w:val="000A5BF2"/>
    <w:rsid w:val="000A5C77"/>
    <w:rsid w:val="000A5D7B"/>
    <w:rsid w:val="000A6B80"/>
    <w:rsid w:val="000A6C75"/>
    <w:rsid w:val="000A6E57"/>
    <w:rsid w:val="000A6FFE"/>
    <w:rsid w:val="000A7123"/>
    <w:rsid w:val="000A73E6"/>
    <w:rsid w:val="000A7C1F"/>
    <w:rsid w:val="000A7D3E"/>
    <w:rsid w:val="000B08AA"/>
    <w:rsid w:val="000B1D5B"/>
    <w:rsid w:val="000B2456"/>
    <w:rsid w:val="000B2731"/>
    <w:rsid w:val="000B289B"/>
    <w:rsid w:val="000B29CB"/>
    <w:rsid w:val="000B2B14"/>
    <w:rsid w:val="000B32F5"/>
    <w:rsid w:val="000B3314"/>
    <w:rsid w:val="000B371B"/>
    <w:rsid w:val="000B397D"/>
    <w:rsid w:val="000B3CC6"/>
    <w:rsid w:val="000B483F"/>
    <w:rsid w:val="000B4B46"/>
    <w:rsid w:val="000B50E4"/>
    <w:rsid w:val="000B50F3"/>
    <w:rsid w:val="000B5362"/>
    <w:rsid w:val="000B5598"/>
    <w:rsid w:val="000B5A84"/>
    <w:rsid w:val="000B5B84"/>
    <w:rsid w:val="000B6BB6"/>
    <w:rsid w:val="000B70FF"/>
    <w:rsid w:val="000B7365"/>
    <w:rsid w:val="000B75B4"/>
    <w:rsid w:val="000B7752"/>
    <w:rsid w:val="000B7B5F"/>
    <w:rsid w:val="000C0677"/>
    <w:rsid w:val="000C12DF"/>
    <w:rsid w:val="000C2CA0"/>
    <w:rsid w:val="000C2F85"/>
    <w:rsid w:val="000C338A"/>
    <w:rsid w:val="000C36BD"/>
    <w:rsid w:val="000C43B7"/>
    <w:rsid w:val="000C4ACC"/>
    <w:rsid w:val="000C4B11"/>
    <w:rsid w:val="000C4E74"/>
    <w:rsid w:val="000C519B"/>
    <w:rsid w:val="000C5353"/>
    <w:rsid w:val="000C5527"/>
    <w:rsid w:val="000C626C"/>
    <w:rsid w:val="000C6809"/>
    <w:rsid w:val="000C76B2"/>
    <w:rsid w:val="000C7A76"/>
    <w:rsid w:val="000D05AE"/>
    <w:rsid w:val="000D05BB"/>
    <w:rsid w:val="000D0A02"/>
    <w:rsid w:val="000D13AC"/>
    <w:rsid w:val="000D1D7B"/>
    <w:rsid w:val="000D22CD"/>
    <w:rsid w:val="000D2774"/>
    <w:rsid w:val="000D29F9"/>
    <w:rsid w:val="000D2A97"/>
    <w:rsid w:val="000D2F68"/>
    <w:rsid w:val="000D2FFC"/>
    <w:rsid w:val="000D33B5"/>
    <w:rsid w:val="000D33FC"/>
    <w:rsid w:val="000D3420"/>
    <w:rsid w:val="000D3BB2"/>
    <w:rsid w:val="000D420E"/>
    <w:rsid w:val="000D42D9"/>
    <w:rsid w:val="000D4464"/>
    <w:rsid w:val="000D4891"/>
    <w:rsid w:val="000D55D1"/>
    <w:rsid w:val="000D5ACB"/>
    <w:rsid w:val="000D5E0F"/>
    <w:rsid w:val="000D6143"/>
    <w:rsid w:val="000D6605"/>
    <w:rsid w:val="000E0380"/>
    <w:rsid w:val="000E05E3"/>
    <w:rsid w:val="000E07F6"/>
    <w:rsid w:val="000E166F"/>
    <w:rsid w:val="000E16EA"/>
    <w:rsid w:val="000E1D96"/>
    <w:rsid w:val="000E1ECA"/>
    <w:rsid w:val="000E22D6"/>
    <w:rsid w:val="000E259C"/>
    <w:rsid w:val="000E3063"/>
    <w:rsid w:val="000E328C"/>
    <w:rsid w:val="000E34DB"/>
    <w:rsid w:val="000E4691"/>
    <w:rsid w:val="000E47B3"/>
    <w:rsid w:val="000E4F4B"/>
    <w:rsid w:val="000E5444"/>
    <w:rsid w:val="000E5863"/>
    <w:rsid w:val="000E5C1A"/>
    <w:rsid w:val="000E5E17"/>
    <w:rsid w:val="000E6A8D"/>
    <w:rsid w:val="000E750A"/>
    <w:rsid w:val="000E751A"/>
    <w:rsid w:val="000E785A"/>
    <w:rsid w:val="000E7C40"/>
    <w:rsid w:val="000F060D"/>
    <w:rsid w:val="000F0BC2"/>
    <w:rsid w:val="000F0C56"/>
    <w:rsid w:val="000F0EFD"/>
    <w:rsid w:val="000F18D1"/>
    <w:rsid w:val="000F1A16"/>
    <w:rsid w:val="000F22AB"/>
    <w:rsid w:val="000F2367"/>
    <w:rsid w:val="000F236B"/>
    <w:rsid w:val="000F28BF"/>
    <w:rsid w:val="000F2BEE"/>
    <w:rsid w:val="000F2DD7"/>
    <w:rsid w:val="000F3810"/>
    <w:rsid w:val="000F40AF"/>
    <w:rsid w:val="000F4C70"/>
    <w:rsid w:val="000F4CF4"/>
    <w:rsid w:val="000F59D1"/>
    <w:rsid w:val="000F5C1B"/>
    <w:rsid w:val="000F5CFF"/>
    <w:rsid w:val="000F6762"/>
    <w:rsid w:val="000F6AC0"/>
    <w:rsid w:val="000F6B8A"/>
    <w:rsid w:val="000F6BEB"/>
    <w:rsid w:val="000F70CA"/>
    <w:rsid w:val="000F7498"/>
    <w:rsid w:val="00101037"/>
    <w:rsid w:val="00101A82"/>
    <w:rsid w:val="00101F05"/>
    <w:rsid w:val="00101FFC"/>
    <w:rsid w:val="0010331D"/>
    <w:rsid w:val="001042AC"/>
    <w:rsid w:val="001045D6"/>
    <w:rsid w:val="001053C3"/>
    <w:rsid w:val="00105A9B"/>
    <w:rsid w:val="00105DA4"/>
    <w:rsid w:val="00105DB8"/>
    <w:rsid w:val="001065F6"/>
    <w:rsid w:val="00107150"/>
    <w:rsid w:val="001079FD"/>
    <w:rsid w:val="0011086B"/>
    <w:rsid w:val="00110B24"/>
    <w:rsid w:val="00110D63"/>
    <w:rsid w:val="00110F55"/>
    <w:rsid w:val="00111630"/>
    <w:rsid w:val="00111828"/>
    <w:rsid w:val="001118F6"/>
    <w:rsid w:val="001125CD"/>
    <w:rsid w:val="0011313B"/>
    <w:rsid w:val="0011326E"/>
    <w:rsid w:val="00113398"/>
    <w:rsid w:val="001138DC"/>
    <w:rsid w:val="00113C72"/>
    <w:rsid w:val="00114CC1"/>
    <w:rsid w:val="00114E35"/>
    <w:rsid w:val="00115644"/>
    <w:rsid w:val="00115E31"/>
    <w:rsid w:val="0011606D"/>
    <w:rsid w:val="001162BB"/>
    <w:rsid w:val="00116896"/>
    <w:rsid w:val="00116D62"/>
    <w:rsid w:val="00116E71"/>
    <w:rsid w:val="0011731B"/>
    <w:rsid w:val="001174C7"/>
    <w:rsid w:val="00117807"/>
    <w:rsid w:val="00117DF4"/>
    <w:rsid w:val="00117F45"/>
    <w:rsid w:val="0012099E"/>
    <w:rsid w:val="00120D48"/>
    <w:rsid w:val="00121392"/>
    <w:rsid w:val="00121980"/>
    <w:rsid w:val="00121BF6"/>
    <w:rsid w:val="00122BA8"/>
    <w:rsid w:val="00122DCC"/>
    <w:rsid w:val="00122DE5"/>
    <w:rsid w:val="00123A0F"/>
    <w:rsid w:val="00123E87"/>
    <w:rsid w:val="00124057"/>
    <w:rsid w:val="00124106"/>
    <w:rsid w:val="00124708"/>
    <w:rsid w:val="00124B61"/>
    <w:rsid w:val="001252BC"/>
    <w:rsid w:val="00125B08"/>
    <w:rsid w:val="00125DC0"/>
    <w:rsid w:val="00126DA2"/>
    <w:rsid w:val="001271E1"/>
    <w:rsid w:val="00127760"/>
    <w:rsid w:val="00127EC7"/>
    <w:rsid w:val="00130D75"/>
    <w:rsid w:val="001315C3"/>
    <w:rsid w:val="00132016"/>
    <w:rsid w:val="001324F4"/>
    <w:rsid w:val="00132840"/>
    <w:rsid w:val="00132B26"/>
    <w:rsid w:val="00133291"/>
    <w:rsid w:val="001334F9"/>
    <w:rsid w:val="00133BC9"/>
    <w:rsid w:val="00133FED"/>
    <w:rsid w:val="00134A53"/>
    <w:rsid w:val="00134D76"/>
    <w:rsid w:val="00134FC6"/>
    <w:rsid w:val="00135D6E"/>
    <w:rsid w:val="00136578"/>
    <w:rsid w:val="00136C81"/>
    <w:rsid w:val="001371DC"/>
    <w:rsid w:val="00137309"/>
    <w:rsid w:val="001401BA"/>
    <w:rsid w:val="001403C0"/>
    <w:rsid w:val="00140872"/>
    <w:rsid w:val="001411A0"/>
    <w:rsid w:val="0014165B"/>
    <w:rsid w:val="00141D73"/>
    <w:rsid w:val="00142067"/>
    <w:rsid w:val="001422BE"/>
    <w:rsid w:val="00142C8E"/>
    <w:rsid w:val="00143419"/>
    <w:rsid w:val="00143AD3"/>
    <w:rsid w:val="00143D48"/>
    <w:rsid w:val="001449F7"/>
    <w:rsid w:val="001454E1"/>
    <w:rsid w:val="0014569D"/>
    <w:rsid w:val="00145709"/>
    <w:rsid w:val="00146996"/>
    <w:rsid w:val="001474A0"/>
    <w:rsid w:val="001479D8"/>
    <w:rsid w:val="00147D2B"/>
    <w:rsid w:val="00147E9D"/>
    <w:rsid w:val="001500ED"/>
    <w:rsid w:val="0015091C"/>
    <w:rsid w:val="00150B27"/>
    <w:rsid w:val="00152269"/>
    <w:rsid w:val="00152ABB"/>
    <w:rsid w:val="00152E37"/>
    <w:rsid w:val="001532DB"/>
    <w:rsid w:val="00153B49"/>
    <w:rsid w:val="00154E89"/>
    <w:rsid w:val="00154ECE"/>
    <w:rsid w:val="0015558D"/>
    <w:rsid w:val="00155ADE"/>
    <w:rsid w:val="001560FD"/>
    <w:rsid w:val="00156EFE"/>
    <w:rsid w:val="00156FC5"/>
    <w:rsid w:val="0016028C"/>
    <w:rsid w:val="001603CB"/>
    <w:rsid w:val="0016112C"/>
    <w:rsid w:val="00161AA7"/>
    <w:rsid w:val="00161BCD"/>
    <w:rsid w:val="00161D4E"/>
    <w:rsid w:val="00161FD1"/>
    <w:rsid w:val="001620FC"/>
    <w:rsid w:val="001625F8"/>
    <w:rsid w:val="00162A17"/>
    <w:rsid w:val="00163694"/>
    <w:rsid w:val="00163A44"/>
    <w:rsid w:val="00163CDF"/>
    <w:rsid w:val="00163E5F"/>
    <w:rsid w:val="0016434E"/>
    <w:rsid w:val="00164B42"/>
    <w:rsid w:val="001654D6"/>
    <w:rsid w:val="0016589F"/>
    <w:rsid w:val="00166A42"/>
    <w:rsid w:val="00167C2F"/>
    <w:rsid w:val="00167CE8"/>
    <w:rsid w:val="00170246"/>
    <w:rsid w:val="0017045A"/>
    <w:rsid w:val="001705C5"/>
    <w:rsid w:val="00170DDE"/>
    <w:rsid w:val="0017177B"/>
    <w:rsid w:val="00172261"/>
    <w:rsid w:val="00172559"/>
    <w:rsid w:val="00172946"/>
    <w:rsid w:val="001729DB"/>
    <w:rsid w:val="00172D18"/>
    <w:rsid w:val="00172E45"/>
    <w:rsid w:val="00173685"/>
    <w:rsid w:val="001737EF"/>
    <w:rsid w:val="00173C6B"/>
    <w:rsid w:val="00173DD7"/>
    <w:rsid w:val="00173E9D"/>
    <w:rsid w:val="00174E9A"/>
    <w:rsid w:val="00174EC9"/>
    <w:rsid w:val="00174F17"/>
    <w:rsid w:val="00175B2D"/>
    <w:rsid w:val="00175BFB"/>
    <w:rsid w:val="00175E7D"/>
    <w:rsid w:val="00175F2D"/>
    <w:rsid w:val="0017658A"/>
    <w:rsid w:val="00176869"/>
    <w:rsid w:val="00177F2E"/>
    <w:rsid w:val="001800D3"/>
    <w:rsid w:val="001800E4"/>
    <w:rsid w:val="001801B2"/>
    <w:rsid w:val="001802D6"/>
    <w:rsid w:val="001804AC"/>
    <w:rsid w:val="001806BA"/>
    <w:rsid w:val="00180A32"/>
    <w:rsid w:val="0018118D"/>
    <w:rsid w:val="00181A9A"/>
    <w:rsid w:val="00181E3A"/>
    <w:rsid w:val="00182475"/>
    <w:rsid w:val="00182601"/>
    <w:rsid w:val="00182C43"/>
    <w:rsid w:val="0018302D"/>
    <w:rsid w:val="001834FF"/>
    <w:rsid w:val="00183BB0"/>
    <w:rsid w:val="00183BE3"/>
    <w:rsid w:val="0018422B"/>
    <w:rsid w:val="00184245"/>
    <w:rsid w:val="001848F7"/>
    <w:rsid w:val="0018527A"/>
    <w:rsid w:val="00185DB6"/>
    <w:rsid w:val="001863BB"/>
    <w:rsid w:val="00186B80"/>
    <w:rsid w:val="00186BD3"/>
    <w:rsid w:val="00186DBE"/>
    <w:rsid w:val="00187394"/>
    <w:rsid w:val="00187B9F"/>
    <w:rsid w:val="0019011A"/>
    <w:rsid w:val="0019031B"/>
    <w:rsid w:val="00190C8B"/>
    <w:rsid w:val="00191C08"/>
    <w:rsid w:val="001928B8"/>
    <w:rsid w:val="00193456"/>
    <w:rsid w:val="00193D16"/>
    <w:rsid w:val="001944BB"/>
    <w:rsid w:val="00195384"/>
    <w:rsid w:val="00195A84"/>
    <w:rsid w:val="00195F47"/>
    <w:rsid w:val="00196007"/>
    <w:rsid w:val="001960B8"/>
    <w:rsid w:val="0019622C"/>
    <w:rsid w:val="00196405"/>
    <w:rsid w:val="0019644D"/>
    <w:rsid w:val="0019682E"/>
    <w:rsid w:val="0019694A"/>
    <w:rsid w:val="00196B82"/>
    <w:rsid w:val="00197C58"/>
    <w:rsid w:val="001A0DC7"/>
    <w:rsid w:val="001A108F"/>
    <w:rsid w:val="001A1309"/>
    <w:rsid w:val="001A1B9D"/>
    <w:rsid w:val="001A1C49"/>
    <w:rsid w:val="001A1CB9"/>
    <w:rsid w:val="001A1EB6"/>
    <w:rsid w:val="001A2FEE"/>
    <w:rsid w:val="001A3CDA"/>
    <w:rsid w:val="001A47EE"/>
    <w:rsid w:val="001A47FD"/>
    <w:rsid w:val="001A498B"/>
    <w:rsid w:val="001A570E"/>
    <w:rsid w:val="001A5898"/>
    <w:rsid w:val="001A60CF"/>
    <w:rsid w:val="001A6360"/>
    <w:rsid w:val="001A744D"/>
    <w:rsid w:val="001A773F"/>
    <w:rsid w:val="001A7A72"/>
    <w:rsid w:val="001A7E13"/>
    <w:rsid w:val="001B03A5"/>
    <w:rsid w:val="001B07E6"/>
    <w:rsid w:val="001B0845"/>
    <w:rsid w:val="001B133B"/>
    <w:rsid w:val="001B16BB"/>
    <w:rsid w:val="001B16F3"/>
    <w:rsid w:val="001B1795"/>
    <w:rsid w:val="001B21A1"/>
    <w:rsid w:val="001B273D"/>
    <w:rsid w:val="001B2D21"/>
    <w:rsid w:val="001B32D0"/>
    <w:rsid w:val="001B3D4B"/>
    <w:rsid w:val="001B3D7D"/>
    <w:rsid w:val="001B4065"/>
    <w:rsid w:val="001B42B5"/>
    <w:rsid w:val="001B438F"/>
    <w:rsid w:val="001B43B3"/>
    <w:rsid w:val="001B4742"/>
    <w:rsid w:val="001B479D"/>
    <w:rsid w:val="001B53D4"/>
    <w:rsid w:val="001B5675"/>
    <w:rsid w:val="001B5A70"/>
    <w:rsid w:val="001B61A0"/>
    <w:rsid w:val="001B6AAC"/>
    <w:rsid w:val="001B7117"/>
    <w:rsid w:val="001C05BF"/>
    <w:rsid w:val="001C0BF6"/>
    <w:rsid w:val="001C0CC1"/>
    <w:rsid w:val="001C0CC5"/>
    <w:rsid w:val="001C1632"/>
    <w:rsid w:val="001C17DC"/>
    <w:rsid w:val="001C1913"/>
    <w:rsid w:val="001C1AB1"/>
    <w:rsid w:val="001C2738"/>
    <w:rsid w:val="001C2744"/>
    <w:rsid w:val="001C2ADE"/>
    <w:rsid w:val="001C325C"/>
    <w:rsid w:val="001C3B45"/>
    <w:rsid w:val="001C4A21"/>
    <w:rsid w:val="001C531F"/>
    <w:rsid w:val="001C53B1"/>
    <w:rsid w:val="001C53FF"/>
    <w:rsid w:val="001C55B3"/>
    <w:rsid w:val="001C5833"/>
    <w:rsid w:val="001C5EFF"/>
    <w:rsid w:val="001C60A7"/>
    <w:rsid w:val="001C6BE8"/>
    <w:rsid w:val="001C72CF"/>
    <w:rsid w:val="001C73D2"/>
    <w:rsid w:val="001C7FEF"/>
    <w:rsid w:val="001C7FF5"/>
    <w:rsid w:val="001D08C4"/>
    <w:rsid w:val="001D0C9B"/>
    <w:rsid w:val="001D162C"/>
    <w:rsid w:val="001D1CF8"/>
    <w:rsid w:val="001D1E94"/>
    <w:rsid w:val="001D2174"/>
    <w:rsid w:val="001D221A"/>
    <w:rsid w:val="001D2276"/>
    <w:rsid w:val="001D29DD"/>
    <w:rsid w:val="001D2FF0"/>
    <w:rsid w:val="001D3AE4"/>
    <w:rsid w:val="001D3BC9"/>
    <w:rsid w:val="001D42AD"/>
    <w:rsid w:val="001D4AB7"/>
    <w:rsid w:val="001D4AD6"/>
    <w:rsid w:val="001D53B7"/>
    <w:rsid w:val="001D6A64"/>
    <w:rsid w:val="001D6E1A"/>
    <w:rsid w:val="001D734E"/>
    <w:rsid w:val="001D75ED"/>
    <w:rsid w:val="001D7C81"/>
    <w:rsid w:val="001D7EC7"/>
    <w:rsid w:val="001E03DC"/>
    <w:rsid w:val="001E098C"/>
    <w:rsid w:val="001E0D37"/>
    <w:rsid w:val="001E1008"/>
    <w:rsid w:val="001E10C2"/>
    <w:rsid w:val="001E11BE"/>
    <w:rsid w:val="001E148E"/>
    <w:rsid w:val="001E2255"/>
    <w:rsid w:val="001E2C06"/>
    <w:rsid w:val="001E2E30"/>
    <w:rsid w:val="001E48FB"/>
    <w:rsid w:val="001E4B05"/>
    <w:rsid w:val="001E4C05"/>
    <w:rsid w:val="001E4FEA"/>
    <w:rsid w:val="001E534A"/>
    <w:rsid w:val="001E53CE"/>
    <w:rsid w:val="001E578C"/>
    <w:rsid w:val="001E5D68"/>
    <w:rsid w:val="001E6045"/>
    <w:rsid w:val="001E65D7"/>
    <w:rsid w:val="001E69C0"/>
    <w:rsid w:val="001E6CE4"/>
    <w:rsid w:val="001E7AEC"/>
    <w:rsid w:val="001F0126"/>
    <w:rsid w:val="001F072B"/>
    <w:rsid w:val="001F0EFD"/>
    <w:rsid w:val="001F1052"/>
    <w:rsid w:val="001F13FF"/>
    <w:rsid w:val="001F156B"/>
    <w:rsid w:val="001F28AF"/>
    <w:rsid w:val="001F2FD4"/>
    <w:rsid w:val="001F3FE9"/>
    <w:rsid w:val="001F424D"/>
    <w:rsid w:val="001F4713"/>
    <w:rsid w:val="001F4A80"/>
    <w:rsid w:val="001F53EA"/>
    <w:rsid w:val="001F560C"/>
    <w:rsid w:val="001F5B51"/>
    <w:rsid w:val="001F6015"/>
    <w:rsid w:val="001F6ED9"/>
    <w:rsid w:val="001F6FDA"/>
    <w:rsid w:val="001F73B6"/>
    <w:rsid w:val="001F74D4"/>
    <w:rsid w:val="001F7744"/>
    <w:rsid w:val="001F77E7"/>
    <w:rsid w:val="001F7E1A"/>
    <w:rsid w:val="0020015E"/>
    <w:rsid w:val="00200846"/>
    <w:rsid w:val="00200BA1"/>
    <w:rsid w:val="00200EF2"/>
    <w:rsid w:val="00200F26"/>
    <w:rsid w:val="00200FFF"/>
    <w:rsid w:val="00201495"/>
    <w:rsid w:val="0020193A"/>
    <w:rsid w:val="00201A9B"/>
    <w:rsid w:val="00201C5B"/>
    <w:rsid w:val="0020235A"/>
    <w:rsid w:val="00202726"/>
    <w:rsid w:val="00202958"/>
    <w:rsid w:val="002030CE"/>
    <w:rsid w:val="00203295"/>
    <w:rsid w:val="002034F2"/>
    <w:rsid w:val="00203611"/>
    <w:rsid w:val="0020413B"/>
    <w:rsid w:val="00204183"/>
    <w:rsid w:val="00204354"/>
    <w:rsid w:val="00204578"/>
    <w:rsid w:val="00204B5E"/>
    <w:rsid w:val="00204DBA"/>
    <w:rsid w:val="0020506A"/>
    <w:rsid w:val="00205579"/>
    <w:rsid w:val="00206D1D"/>
    <w:rsid w:val="00207AD3"/>
    <w:rsid w:val="002109F5"/>
    <w:rsid w:val="00210DAB"/>
    <w:rsid w:val="002114BC"/>
    <w:rsid w:val="002114DD"/>
    <w:rsid w:val="00211846"/>
    <w:rsid w:val="00211936"/>
    <w:rsid w:val="00211CD8"/>
    <w:rsid w:val="002121C5"/>
    <w:rsid w:val="00213059"/>
    <w:rsid w:val="00213170"/>
    <w:rsid w:val="0021392D"/>
    <w:rsid w:val="00213977"/>
    <w:rsid w:val="00213A17"/>
    <w:rsid w:val="00213C56"/>
    <w:rsid w:val="002142B1"/>
    <w:rsid w:val="002142CE"/>
    <w:rsid w:val="002145D1"/>
    <w:rsid w:val="002149A8"/>
    <w:rsid w:val="00214D58"/>
    <w:rsid w:val="00214EB3"/>
    <w:rsid w:val="002152EB"/>
    <w:rsid w:val="00215F6F"/>
    <w:rsid w:val="00216270"/>
    <w:rsid w:val="00216441"/>
    <w:rsid w:val="00216894"/>
    <w:rsid w:val="00216AC9"/>
    <w:rsid w:val="002177EC"/>
    <w:rsid w:val="002209BA"/>
    <w:rsid w:val="00220F14"/>
    <w:rsid w:val="002218FA"/>
    <w:rsid w:val="00222BCC"/>
    <w:rsid w:val="00222CAA"/>
    <w:rsid w:val="00223BAD"/>
    <w:rsid w:val="00223C63"/>
    <w:rsid w:val="00223D25"/>
    <w:rsid w:val="00223DFA"/>
    <w:rsid w:val="00224096"/>
    <w:rsid w:val="0022534B"/>
    <w:rsid w:val="00225451"/>
    <w:rsid w:val="00225558"/>
    <w:rsid w:val="00225809"/>
    <w:rsid w:val="002260D4"/>
    <w:rsid w:val="002265AA"/>
    <w:rsid w:val="00226EF2"/>
    <w:rsid w:val="002271CB"/>
    <w:rsid w:val="002274B4"/>
    <w:rsid w:val="002278D2"/>
    <w:rsid w:val="00227EBA"/>
    <w:rsid w:val="00230065"/>
    <w:rsid w:val="00230192"/>
    <w:rsid w:val="0023081C"/>
    <w:rsid w:val="00230D39"/>
    <w:rsid w:val="00231A04"/>
    <w:rsid w:val="00231E15"/>
    <w:rsid w:val="0023224F"/>
    <w:rsid w:val="002325FB"/>
    <w:rsid w:val="0023265A"/>
    <w:rsid w:val="0023283F"/>
    <w:rsid w:val="00232A8D"/>
    <w:rsid w:val="00232E31"/>
    <w:rsid w:val="0023307F"/>
    <w:rsid w:val="002330AA"/>
    <w:rsid w:val="00234471"/>
    <w:rsid w:val="00234876"/>
    <w:rsid w:val="00234AE0"/>
    <w:rsid w:val="00234EE0"/>
    <w:rsid w:val="002354DD"/>
    <w:rsid w:val="00235AFE"/>
    <w:rsid w:val="00235DF0"/>
    <w:rsid w:val="00235FDD"/>
    <w:rsid w:val="002362FF"/>
    <w:rsid w:val="0023672F"/>
    <w:rsid w:val="00237037"/>
    <w:rsid w:val="00237171"/>
    <w:rsid w:val="002379EB"/>
    <w:rsid w:val="00237C6F"/>
    <w:rsid w:val="00240571"/>
    <w:rsid w:val="002409BA"/>
    <w:rsid w:val="0024111E"/>
    <w:rsid w:val="00241768"/>
    <w:rsid w:val="002418E3"/>
    <w:rsid w:val="002419D6"/>
    <w:rsid w:val="00241B11"/>
    <w:rsid w:val="00241B67"/>
    <w:rsid w:val="00241E71"/>
    <w:rsid w:val="00241FF7"/>
    <w:rsid w:val="0024273F"/>
    <w:rsid w:val="00242873"/>
    <w:rsid w:val="00242AB9"/>
    <w:rsid w:val="00242C53"/>
    <w:rsid w:val="00242D68"/>
    <w:rsid w:val="0024346C"/>
    <w:rsid w:val="00243CF1"/>
    <w:rsid w:val="00243DBB"/>
    <w:rsid w:val="002442D8"/>
    <w:rsid w:val="00244BC2"/>
    <w:rsid w:val="0024565B"/>
    <w:rsid w:val="00245A12"/>
    <w:rsid w:val="00245ACE"/>
    <w:rsid w:val="00245D8F"/>
    <w:rsid w:val="00246008"/>
    <w:rsid w:val="00246115"/>
    <w:rsid w:val="00246BC1"/>
    <w:rsid w:val="00246F58"/>
    <w:rsid w:val="0024717A"/>
    <w:rsid w:val="0024724F"/>
    <w:rsid w:val="00247EA1"/>
    <w:rsid w:val="0025010F"/>
    <w:rsid w:val="00250783"/>
    <w:rsid w:val="002508D5"/>
    <w:rsid w:val="00250A78"/>
    <w:rsid w:val="00251145"/>
    <w:rsid w:val="002511E0"/>
    <w:rsid w:val="002513E7"/>
    <w:rsid w:val="00251BC9"/>
    <w:rsid w:val="002523D1"/>
    <w:rsid w:val="002527FE"/>
    <w:rsid w:val="0025289C"/>
    <w:rsid w:val="002529F0"/>
    <w:rsid w:val="00253329"/>
    <w:rsid w:val="00253855"/>
    <w:rsid w:val="00254553"/>
    <w:rsid w:val="00254637"/>
    <w:rsid w:val="002548D2"/>
    <w:rsid w:val="00254A18"/>
    <w:rsid w:val="002554A2"/>
    <w:rsid w:val="00255636"/>
    <w:rsid w:val="00255E62"/>
    <w:rsid w:val="00255FAC"/>
    <w:rsid w:val="002563FA"/>
    <w:rsid w:val="0025663F"/>
    <w:rsid w:val="00256B72"/>
    <w:rsid w:val="002570E4"/>
    <w:rsid w:val="0025759E"/>
    <w:rsid w:val="00257968"/>
    <w:rsid w:val="0026048B"/>
    <w:rsid w:val="002608B7"/>
    <w:rsid w:val="00260B22"/>
    <w:rsid w:val="00260F3C"/>
    <w:rsid w:val="00261F01"/>
    <w:rsid w:val="002620AA"/>
    <w:rsid w:val="002622D1"/>
    <w:rsid w:val="00262303"/>
    <w:rsid w:val="00262432"/>
    <w:rsid w:val="002626FB"/>
    <w:rsid w:val="00262E49"/>
    <w:rsid w:val="002632FF"/>
    <w:rsid w:val="0026337F"/>
    <w:rsid w:val="00263522"/>
    <w:rsid w:val="00263650"/>
    <w:rsid w:val="002636A2"/>
    <w:rsid w:val="00263AFB"/>
    <w:rsid w:val="00263EF2"/>
    <w:rsid w:val="0026554B"/>
    <w:rsid w:val="00265A72"/>
    <w:rsid w:val="0026606A"/>
    <w:rsid w:val="0026629F"/>
    <w:rsid w:val="00266FDC"/>
    <w:rsid w:val="0026721F"/>
    <w:rsid w:val="002712BE"/>
    <w:rsid w:val="0027163F"/>
    <w:rsid w:val="002717B1"/>
    <w:rsid w:val="00271D1D"/>
    <w:rsid w:val="00271D46"/>
    <w:rsid w:val="00271DDE"/>
    <w:rsid w:val="002721EA"/>
    <w:rsid w:val="002726CD"/>
    <w:rsid w:val="002727E2"/>
    <w:rsid w:val="0027291E"/>
    <w:rsid w:val="00273B74"/>
    <w:rsid w:val="00273DD5"/>
    <w:rsid w:val="002742AC"/>
    <w:rsid w:val="0027480C"/>
    <w:rsid w:val="00274C16"/>
    <w:rsid w:val="0027510E"/>
    <w:rsid w:val="0027526C"/>
    <w:rsid w:val="00275BFE"/>
    <w:rsid w:val="00275DEE"/>
    <w:rsid w:val="00275EAD"/>
    <w:rsid w:val="00276AB6"/>
    <w:rsid w:val="00277126"/>
    <w:rsid w:val="002771B4"/>
    <w:rsid w:val="0027751D"/>
    <w:rsid w:val="00277FF2"/>
    <w:rsid w:val="002801A8"/>
    <w:rsid w:val="00280375"/>
    <w:rsid w:val="00280461"/>
    <w:rsid w:val="0028094A"/>
    <w:rsid w:val="00281073"/>
    <w:rsid w:val="00281223"/>
    <w:rsid w:val="00281FA5"/>
    <w:rsid w:val="0028257F"/>
    <w:rsid w:val="00282B44"/>
    <w:rsid w:val="00282F8B"/>
    <w:rsid w:val="0028371D"/>
    <w:rsid w:val="00283CB1"/>
    <w:rsid w:val="002842B3"/>
    <w:rsid w:val="00284520"/>
    <w:rsid w:val="0028472B"/>
    <w:rsid w:val="002858C5"/>
    <w:rsid w:val="0028698E"/>
    <w:rsid w:val="002869DE"/>
    <w:rsid w:val="002871AC"/>
    <w:rsid w:val="00287E01"/>
    <w:rsid w:val="00287FF3"/>
    <w:rsid w:val="00290AA1"/>
    <w:rsid w:val="00290FDD"/>
    <w:rsid w:val="002914AE"/>
    <w:rsid w:val="00291668"/>
    <w:rsid w:val="00291D2B"/>
    <w:rsid w:val="00291FBE"/>
    <w:rsid w:val="002925C6"/>
    <w:rsid w:val="002928A9"/>
    <w:rsid w:val="002928BF"/>
    <w:rsid w:val="0029296D"/>
    <w:rsid w:val="0029302C"/>
    <w:rsid w:val="002931A6"/>
    <w:rsid w:val="00293414"/>
    <w:rsid w:val="00293B94"/>
    <w:rsid w:val="00293C62"/>
    <w:rsid w:val="00293F62"/>
    <w:rsid w:val="00294035"/>
    <w:rsid w:val="0029410D"/>
    <w:rsid w:val="00294865"/>
    <w:rsid w:val="00294ACF"/>
    <w:rsid w:val="002950D7"/>
    <w:rsid w:val="00295381"/>
    <w:rsid w:val="00295AFF"/>
    <w:rsid w:val="00295F92"/>
    <w:rsid w:val="002960FC"/>
    <w:rsid w:val="00296D15"/>
    <w:rsid w:val="002975AE"/>
    <w:rsid w:val="00297976"/>
    <w:rsid w:val="002979BD"/>
    <w:rsid w:val="00297C52"/>
    <w:rsid w:val="00297D74"/>
    <w:rsid w:val="002A050D"/>
    <w:rsid w:val="002A065E"/>
    <w:rsid w:val="002A0723"/>
    <w:rsid w:val="002A20E2"/>
    <w:rsid w:val="002A21FA"/>
    <w:rsid w:val="002A24DC"/>
    <w:rsid w:val="002A25F5"/>
    <w:rsid w:val="002A2EBF"/>
    <w:rsid w:val="002A383E"/>
    <w:rsid w:val="002A4FDF"/>
    <w:rsid w:val="002A547B"/>
    <w:rsid w:val="002A57AC"/>
    <w:rsid w:val="002A73A3"/>
    <w:rsid w:val="002A7D2A"/>
    <w:rsid w:val="002A7EB0"/>
    <w:rsid w:val="002B000F"/>
    <w:rsid w:val="002B00DB"/>
    <w:rsid w:val="002B0B8C"/>
    <w:rsid w:val="002B0E3B"/>
    <w:rsid w:val="002B1EC1"/>
    <w:rsid w:val="002B1FBC"/>
    <w:rsid w:val="002B241A"/>
    <w:rsid w:val="002B258A"/>
    <w:rsid w:val="002B3AFA"/>
    <w:rsid w:val="002B3E4C"/>
    <w:rsid w:val="002B3EE2"/>
    <w:rsid w:val="002B40AB"/>
    <w:rsid w:val="002B484C"/>
    <w:rsid w:val="002B4EF3"/>
    <w:rsid w:val="002B5222"/>
    <w:rsid w:val="002B551B"/>
    <w:rsid w:val="002B5937"/>
    <w:rsid w:val="002B59DC"/>
    <w:rsid w:val="002B5C90"/>
    <w:rsid w:val="002B5F66"/>
    <w:rsid w:val="002B63A6"/>
    <w:rsid w:val="002B6B4A"/>
    <w:rsid w:val="002B708D"/>
    <w:rsid w:val="002B722C"/>
    <w:rsid w:val="002B78C2"/>
    <w:rsid w:val="002B7A6A"/>
    <w:rsid w:val="002C0018"/>
    <w:rsid w:val="002C00A2"/>
    <w:rsid w:val="002C01A0"/>
    <w:rsid w:val="002C05C5"/>
    <w:rsid w:val="002C0D22"/>
    <w:rsid w:val="002C0D62"/>
    <w:rsid w:val="002C0E6F"/>
    <w:rsid w:val="002C15F8"/>
    <w:rsid w:val="002C16AC"/>
    <w:rsid w:val="002C1D7B"/>
    <w:rsid w:val="002C1E28"/>
    <w:rsid w:val="002C240B"/>
    <w:rsid w:val="002C2AEC"/>
    <w:rsid w:val="002C2B53"/>
    <w:rsid w:val="002C3274"/>
    <w:rsid w:val="002C3310"/>
    <w:rsid w:val="002C3465"/>
    <w:rsid w:val="002C386B"/>
    <w:rsid w:val="002C4422"/>
    <w:rsid w:val="002C4D51"/>
    <w:rsid w:val="002C52BF"/>
    <w:rsid w:val="002C554E"/>
    <w:rsid w:val="002C5AE7"/>
    <w:rsid w:val="002C5C32"/>
    <w:rsid w:val="002C6000"/>
    <w:rsid w:val="002C685A"/>
    <w:rsid w:val="002C6CDC"/>
    <w:rsid w:val="002C6DB9"/>
    <w:rsid w:val="002C7186"/>
    <w:rsid w:val="002C739B"/>
    <w:rsid w:val="002C7421"/>
    <w:rsid w:val="002C7DB7"/>
    <w:rsid w:val="002D0CA0"/>
    <w:rsid w:val="002D0FBB"/>
    <w:rsid w:val="002D14DE"/>
    <w:rsid w:val="002D15DB"/>
    <w:rsid w:val="002D1C57"/>
    <w:rsid w:val="002D1FEA"/>
    <w:rsid w:val="002D236B"/>
    <w:rsid w:val="002D25ED"/>
    <w:rsid w:val="002D3013"/>
    <w:rsid w:val="002D3351"/>
    <w:rsid w:val="002D3916"/>
    <w:rsid w:val="002D4188"/>
    <w:rsid w:val="002D5429"/>
    <w:rsid w:val="002D54BE"/>
    <w:rsid w:val="002D5DCB"/>
    <w:rsid w:val="002D664B"/>
    <w:rsid w:val="002D6678"/>
    <w:rsid w:val="002D6BA3"/>
    <w:rsid w:val="002D6C22"/>
    <w:rsid w:val="002D6D65"/>
    <w:rsid w:val="002D6E72"/>
    <w:rsid w:val="002D74FD"/>
    <w:rsid w:val="002D7671"/>
    <w:rsid w:val="002D7DFC"/>
    <w:rsid w:val="002D7F2B"/>
    <w:rsid w:val="002E0377"/>
    <w:rsid w:val="002E0866"/>
    <w:rsid w:val="002E0A6A"/>
    <w:rsid w:val="002E1754"/>
    <w:rsid w:val="002E1801"/>
    <w:rsid w:val="002E18B1"/>
    <w:rsid w:val="002E1FBC"/>
    <w:rsid w:val="002E27EB"/>
    <w:rsid w:val="002E39E9"/>
    <w:rsid w:val="002E3C31"/>
    <w:rsid w:val="002E3E64"/>
    <w:rsid w:val="002E4C32"/>
    <w:rsid w:val="002E5458"/>
    <w:rsid w:val="002E6895"/>
    <w:rsid w:val="002E691E"/>
    <w:rsid w:val="002E6D2D"/>
    <w:rsid w:val="002E7D9E"/>
    <w:rsid w:val="002E7F7D"/>
    <w:rsid w:val="002F00A7"/>
    <w:rsid w:val="002F04D2"/>
    <w:rsid w:val="002F0C22"/>
    <w:rsid w:val="002F1195"/>
    <w:rsid w:val="002F12A0"/>
    <w:rsid w:val="002F1346"/>
    <w:rsid w:val="002F18DB"/>
    <w:rsid w:val="002F1D04"/>
    <w:rsid w:val="002F1EB8"/>
    <w:rsid w:val="002F2123"/>
    <w:rsid w:val="002F2338"/>
    <w:rsid w:val="002F271B"/>
    <w:rsid w:val="002F2AC0"/>
    <w:rsid w:val="002F3DCF"/>
    <w:rsid w:val="002F4FA9"/>
    <w:rsid w:val="002F534C"/>
    <w:rsid w:val="002F55B9"/>
    <w:rsid w:val="002F5650"/>
    <w:rsid w:val="002F5B3E"/>
    <w:rsid w:val="002F5B9B"/>
    <w:rsid w:val="002F68EC"/>
    <w:rsid w:val="002F7A35"/>
    <w:rsid w:val="002F7AC3"/>
    <w:rsid w:val="002F7E90"/>
    <w:rsid w:val="0030009D"/>
    <w:rsid w:val="00300354"/>
    <w:rsid w:val="00300E4A"/>
    <w:rsid w:val="00300EE0"/>
    <w:rsid w:val="003011D6"/>
    <w:rsid w:val="003028EE"/>
    <w:rsid w:val="00302CE2"/>
    <w:rsid w:val="00303BED"/>
    <w:rsid w:val="00304001"/>
    <w:rsid w:val="00305438"/>
    <w:rsid w:val="00305732"/>
    <w:rsid w:val="003058CD"/>
    <w:rsid w:val="00306335"/>
    <w:rsid w:val="00310051"/>
    <w:rsid w:val="00310BAF"/>
    <w:rsid w:val="003113EE"/>
    <w:rsid w:val="00311564"/>
    <w:rsid w:val="00311754"/>
    <w:rsid w:val="0031177F"/>
    <w:rsid w:val="00311996"/>
    <w:rsid w:val="00311E10"/>
    <w:rsid w:val="003126A2"/>
    <w:rsid w:val="003130B9"/>
    <w:rsid w:val="0031340B"/>
    <w:rsid w:val="00313542"/>
    <w:rsid w:val="00313E09"/>
    <w:rsid w:val="00314619"/>
    <w:rsid w:val="00314EF7"/>
    <w:rsid w:val="003154A0"/>
    <w:rsid w:val="003155AD"/>
    <w:rsid w:val="003156C2"/>
    <w:rsid w:val="00315896"/>
    <w:rsid w:val="00316038"/>
    <w:rsid w:val="00316228"/>
    <w:rsid w:val="0031631B"/>
    <w:rsid w:val="0031670A"/>
    <w:rsid w:val="00317DD7"/>
    <w:rsid w:val="003200AE"/>
    <w:rsid w:val="0032062E"/>
    <w:rsid w:val="00320678"/>
    <w:rsid w:val="0032110B"/>
    <w:rsid w:val="00321720"/>
    <w:rsid w:val="003217FB"/>
    <w:rsid w:val="00321F3B"/>
    <w:rsid w:val="00322835"/>
    <w:rsid w:val="00322F0C"/>
    <w:rsid w:val="003230EB"/>
    <w:rsid w:val="00323469"/>
    <w:rsid w:val="003235F5"/>
    <w:rsid w:val="00323630"/>
    <w:rsid w:val="003239A5"/>
    <w:rsid w:val="00323D9C"/>
    <w:rsid w:val="00323F76"/>
    <w:rsid w:val="003250A2"/>
    <w:rsid w:val="00325110"/>
    <w:rsid w:val="00325988"/>
    <w:rsid w:val="00325AE6"/>
    <w:rsid w:val="00325C46"/>
    <w:rsid w:val="003264EA"/>
    <w:rsid w:val="003267D8"/>
    <w:rsid w:val="00326CD3"/>
    <w:rsid w:val="00327427"/>
    <w:rsid w:val="00330368"/>
    <w:rsid w:val="00330A5B"/>
    <w:rsid w:val="003317FE"/>
    <w:rsid w:val="0033207C"/>
    <w:rsid w:val="003321BD"/>
    <w:rsid w:val="003325F3"/>
    <w:rsid w:val="003325F6"/>
    <w:rsid w:val="0033284B"/>
    <w:rsid w:val="0033307D"/>
    <w:rsid w:val="00333585"/>
    <w:rsid w:val="0033383F"/>
    <w:rsid w:val="00334334"/>
    <w:rsid w:val="0033524B"/>
    <w:rsid w:val="0033550F"/>
    <w:rsid w:val="00335BA1"/>
    <w:rsid w:val="00336177"/>
    <w:rsid w:val="003371A3"/>
    <w:rsid w:val="003378C0"/>
    <w:rsid w:val="00337C58"/>
    <w:rsid w:val="00337E93"/>
    <w:rsid w:val="00337EB0"/>
    <w:rsid w:val="0034033D"/>
    <w:rsid w:val="00340976"/>
    <w:rsid w:val="00341159"/>
    <w:rsid w:val="00341659"/>
    <w:rsid w:val="00341E9C"/>
    <w:rsid w:val="00342249"/>
    <w:rsid w:val="00342C0C"/>
    <w:rsid w:val="0034322D"/>
    <w:rsid w:val="00343C8E"/>
    <w:rsid w:val="00343EF8"/>
    <w:rsid w:val="00343F20"/>
    <w:rsid w:val="00344022"/>
    <w:rsid w:val="00345846"/>
    <w:rsid w:val="0034595A"/>
    <w:rsid w:val="00345D84"/>
    <w:rsid w:val="00345DD5"/>
    <w:rsid w:val="003467E8"/>
    <w:rsid w:val="0034708E"/>
    <w:rsid w:val="0034757F"/>
    <w:rsid w:val="00347696"/>
    <w:rsid w:val="003505C0"/>
    <w:rsid w:val="00350DFE"/>
    <w:rsid w:val="00351485"/>
    <w:rsid w:val="00351728"/>
    <w:rsid w:val="0035189E"/>
    <w:rsid w:val="003518B4"/>
    <w:rsid w:val="00351C0D"/>
    <w:rsid w:val="00352179"/>
    <w:rsid w:val="00352B4F"/>
    <w:rsid w:val="00352B5E"/>
    <w:rsid w:val="0035372F"/>
    <w:rsid w:val="00353EF5"/>
    <w:rsid w:val="00354FD8"/>
    <w:rsid w:val="00355C93"/>
    <w:rsid w:val="00355D8F"/>
    <w:rsid w:val="003567D1"/>
    <w:rsid w:val="00356D2F"/>
    <w:rsid w:val="003572DC"/>
    <w:rsid w:val="00357A8F"/>
    <w:rsid w:val="00357E77"/>
    <w:rsid w:val="0036040F"/>
    <w:rsid w:val="00361C6F"/>
    <w:rsid w:val="00363BC1"/>
    <w:rsid w:val="00364774"/>
    <w:rsid w:val="00365E14"/>
    <w:rsid w:val="00365E20"/>
    <w:rsid w:val="003660A5"/>
    <w:rsid w:val="003661E0"/>
    <w:rsid w:val="00367160"/>
    <w:rsid w:val="00367251"/>
    <w:rsid w:val="00367A1D"/>
    <w:rsid w:val="00367A3A"/>
    <w:rsid w:val="00370319"/>
    <w:rsid w:val="00370838"/>
    <w:rsid w:val="003714FB"/>
    <w:rsid w:val="00371755"/>
    <w:rsid w:val="00371C37"/>
    <w:rsid w:val="003726F1"/>
    <w:rsid w:val="00372DA8"/>
    <w:rsid w:val="00372F6D"/>
    <w:rsid w:val="00372FCF"/>
    <w:rsid w:val="00373866"/>
    <w:rsid w:val="00374361"/>
    <w:rsid w:val="0037458B"/>
    <w:rsid w:val="00374D81"/>
    <w:rsid w:val="00374E2C"/>
    <w:rsid w:val="00375B8A"/>
    <w:rsid w:val="0037613C"/>
    <w:rsid w:val="00376873"/>
    <w:rsid w:val="00377567"/>
    <w:rsid w:val="00377871"/>
    <w:rsid w:val="00380475"/>
    <w:rsid w:val="00380D06"/>
    <w:rsid w:val="0038143F"/>
    <w:rsid w:val="0038199F"/>
    <w:rsid w:val="00381B78"/>
    <w:rsid w:val="00381C50"/>
    <w:rsid w:val="003822C4"/>
    <w:rsid w:val="003823B2"/>
    <w:rsid w:val="00382D72"/>
    <w:rsid w:val="00382FA0"/>
    <w:rsid w:val="00383B61"/>
    <w:rsid w:val="00383BE9"/>
    <w:rsid w:val="00383C9A"/>
    <w:rsid w:val="00384403"/>
    <w:rsid w:val="00384CC5"/>
    <w:rsid w:val="00384D45"/>
    <w:rsid w:val="003852A3"/>
    <w:rsid w:val="00385A70"/>
    <w:rsid w:val="00385BAA"/>
    <w:rsid w:val="00385C68"/>
    <w:rsid w:val="00385E52"/>
    <w:rsid w:val="0038753B"/>
    <w:rsid w:val="00387616"/>
    <w:rsid w:val="00390258"/>
    <w:rsid w:val="00390296"/>
    <w:rsid w:val="00390985"/>
    <w:rsid w:val="00390F7F"/>
    <w:rsid w:val="003910F2"/>
    <w:rsid w:val="00391BFF"/>
    <w:rsid w:val="003922B9"/>
    <w:rsid w:val="00392853"/>
    <w:rsid w:val="00392913"/>
    <w:rsid w:val="00392B94"/>
    <w:rsid w:val="00394009"/>
    <w:rsid w:val="00394417"/>
    <w:rsid w:val="003947B8"/>
    <w:rsid w:val="00394A29"/>
    <w:rsid w:val="00394A2F"/>
    <w:rsid w:val="00395273"/>
    <w:rsid w:val="0039599E"/>
    <w:rsid w:val="003960A8"/>
    <w:rsid w:val="00396169"/>
    <w:rsid w:val="003964A2"/>
    <w:rsid w:val="00396A0E"/>
    <w:rsid w:val="003972CE"/>
    <w:rsid w:val="00397B3F"/>
    <w:rsid w:val="003A0716"/>
    <w:rsid w:val="003A0F0D"/>
    <w:rsid w:val="003A10B4"/>
    <w:rsid w:val="003A12D1"/>
    <w:rsid w:val="003A1508"/>
    <w:rsid w:val="003A1F8E"/>
    <w:rsid w:val="003A2191"/>
    <w:rsid w:val="003A2616"/>
    <w:rsid w:val="003A29EE"/>
    <w:rsid w:val="003A2AE6"/>
    <w:rsid w:val="003A3013"/>
    <w:rsid w:val="003A398E"/>
    <w:rsid w:val="003A3CC6"/>
    <w:rsid w:val="003A454B"/>
    <w:rsid w:val="003A4572"/>
    <w:rsid w:val="003A517D"/>
    <w:rsid w:val="003A5F38"/>
    <w:rsid w:val="003A5F60"/>
    <w:rsid w:val="003A62B5"/>
    <w:rsid w:val="003A6AA4"/>
    <w:rsid w:val="003A6B20"/>
    <w:rsid w:val="003A6E14"/>
    <w:rsid w:val="003A70B6"/>
    <w:rsid w:val="003A70DC"/>
    <w:rsid w:val="003A721D"/>
    <w:rsid w:val="003A7440"/>
    <w:rsid w:val="003A7B43"/>
    <w:rsid w:val="003A7EFB"/>
    <w:rsid w:val="003A7F77"/>
    <w:rsid w:val="003B0016"/>
    <w:rsid w:val="003B07FE"/>
    <w:rsid w:val="003B0A78"/>
    <w:rsid w:val="003B1D0A"/>
    <w:rsid w:val="003B3726"/>
    <w:rsid w:val="003B37BD"/>
    <w:rsid w:val="003B39AC"/>
    <w:rsid w:val="003B3FDC"/>
    <w:rsid w:val="003B417B"/>
    <w:rsid w:val="003B43E5"/>
    <w:rsid w:val="003B4D4A"/>
    <w:rsid w:val="003B4ECC"/>
    <w:rsid w:val="003B51E3"/>
    <w:rsid w:val="003B54E1"/>
    <w:rsid w:val="003B5608"/>
    <w:rsid w:val="003B675F"/>
    <w:rsid w:val="003B764F"/>
    <w:rsid w:val="003B7FCB"/>
    <w:rsid w:val="003C1054"/>
    <w:rsid w:val="003C1190"/>
    <w:rsid w:val="003C1EC5"/>
    <w:rsid w:val="003C2190"/>
    <w:rsid w:val="003C24AD"/>
    <w:rsid w:val="003C29A1"/>
    <w:rsid w:val="003C2E83"/>
    <w:rsid w:val="003C3E17"/>
    <w:rsid w:val="003C44B9"/>
    <w:rsid w:val="003C47E7"/>
    <w:rsid w:val="003C4AB8"/>
    <w:rsid w:val="003C584B"/>
    <w:rsid w:val="003C59B9"/>
    <w:rsid w:val="003C59E8"/>
    <w:rsid w:val="003C6EE9"/>
    <w:rsid w:val="003C70BE"/>
    <w:rsid w:val="003C71E9"/>
    <w:rsid w:val="003C72FE"/>
    <w:rsid w:val="003C7598"/>
    <w:rsid w:val="003C7827"/>
    <w:rsid w:val="003C7AAA"/>
    <w:rsid w:val="003D078A"/>
    <w:rsid w:val="003D09AA"/>
    <w:rsid w:val="003D0FD9"/>
    <w:rsid w:val="003D1163"/>
    <w:rsid w:val="003D1FD4"/>
    <w:rsid w:val="003D22B4"/>
    <w:rsid w:val="003D28D1"/>
    <w:rsid w:val="003D2B3F"/>
    <w:rsid w:val="003D2F60"/>
    <w:rsid w:val="003D3049"/>
    <w:rsid w:val="003D3C7C"/>
    <w:rsid w:val="003D3CCE"/>
    <w:rsid w:val="003D41CA"/>
    <w:rsid w:val="003D47AF"/>
    <w:rsid w:val="003D4B75"/>
    <w:rsid w:val="003D4D0D"/>
    <w:rsid w:val="003D5266"/>
    <w:rsid w:val="003D5644"/>
    <w:rsid w:val="003D596E"/>
    <w:rsid w:val="003D5A67"/>
    <w:rsid w:val="003D6052"/>
    <w:rsid w:val="003D61E6"/>
    <w:rsid w:val="003D67D1"/>
    <w:rsid w:val="003D6FEC"/>
    <w:rsid w:val="003D71E2"/>
    <w:rsid w:val="003D7825"/>
    <w:rsid w:val="003D7939"/>
    <w:rsid w:val="003D7FB8"/>
    <w:rsid w:val="003E082C"/>
    <w:rsid w:val="003E0FB4"/>
    <w:rsid w:val="003E11BA"/>
    <w:rsid w:val="003E1F24"/>
    <w:rsid w:val="003E1FC3"/>
    <w:rsid w:val="003E2457"/>
    <w:rsid w:val="003E2F41"/>
    <w:rsid w:val="003E318D"/>
    <w:rsid w:val="003E4385"/>
    <w:rsid w:val="003E44FB"/>
    <w:rsid w:val="003E4D0B"/>
    <w:rsid w:val="003E5421"/>
    <w:rsid w:val="003E6006"/>
    <w:rsid w:val="003E6194"/>
    <w:rsid w:val="003E6AE4"/>
    <w:rsid w:val="003E7B49"/>
    <w:rsid w:val="003F00B5"/>
    <w:rsid w:val="003F02BC"/>
    <w:rsid w:val="003F0CCC"/>
    <w:rsid w:val="003F0D28"/>
    <w:rsid w:val="003F1B83"/>
    <w:rsid w:val="003F28D2"/>
    <w:rsid w:val="003F2CCA"/>
    <w:rsid w:val="003F301D"/>
    <w:rsid w:val="003F358B"/>
    <w:rsid w:val="003F3822"/>
    <w:rsid w:val="003F3CF2"/>
    <w:rsid w:val="003F4260"/>
    <w:rsid w:val="003F47C4"/>
    <w:rsid w:val="003F49AD"/>
    <w:rsid w:val="003F52B9"/>
    <w:rsid w:val="003F55DB"/>
    <w:rsid w:val="003F5718"/>
    <w:rsid w:val="003F5A44"/>
    <w:rsid w:val="003F69E6"/>
    <w:rsid w:val="003F7603"/>
    <w:rsid w:val="003F7723"/>
    <w:rsid w:val="003F7898"/>
    <w:rsid w:val="00400387"/>
    <w:rsid w:val="004003C3"/>
    <w:rsid w:val="0040085B"/>
    <w:rsid w:val="00401282"/>
    <w:rsid w:val="00401C72"/>
    <w:rsid w:val="00401FE6"/>
    <w:rsid w:val="0040219B"/>
    <w:rsid w:val="00402A41"/>
    <w:rsid w:val="00402B03"/>
    <w:rsid w:val="004032A5"/>
    <w:rsid w:val="00403B5F"/>
    <w:rsid w:val="00404AF6"/>
    <w:rsid w:val="00404C39"/>
    <w:rsid w:val="00404F44"/>
    <w:rsid w:val="004050AD"/>
    <w:rsid w:val="004051E7"/>
    <w:rsid w:val="00405723"/>
    <w:rsid w:val="00405BA1"/>
    <w:rsid w:val="00406782"/>
    <w:rsid w:val="00406936"/>
    <w:rsid w:val="00406D06"/>
    <w:rsid w:val="00406FBE"/>
    <w:rsid w:val="00406FEB"/>
    <w:rsid w:val="004074BB"/>
    <w:rsid w:val="00407558"/>
    <w:rsid w:val="00407562"/>
    <w:rsid w:val="00407577"/>
    <w:rsid w:val="0040792E"/>
    <w:rsid w:val="00407A0E"/>
    <w:rsid w:val="00410520"/>
    <w:rsid w:val="00410872"/>
    <w:rsid w:val="004108F1"/>
    <w:rsid w:val="004115F8"/>
    <w:rsid w:val="00411840"/>
    <w:rsid w:val="00411A8D"/>
    <w:rsid w:val="00411C14"/>
    <w:rsid w:val="00412262"/>
    <w:rsid w:val="0041229B"/>
    <w:rsid w:val="004124B1"/>
    <w:rsid w:val="00412681"/>
    <w:rsid w:val="00412790"/>
    <w:rsid w:val="00412AAD"/>
    <w:rsid w:val="00412C3C"/>
    <w:rsid w:val="00413D81"/>
    <w:rsid w:val="00413DBB"/>
    <w:rsid w:val="00413E1A"/>
    <w:rsid w:val="0041418D"/>
    <w:rsid w:val="00414A88"/>
    <w:rsid w:val="00414BFA"/>
    <w:rsid w:val="004156AB"/>
    <w:rsid w:val="00415796"/>
    <w:rsid w:val="00415A3E"/>
    <w:rsid w:val="00416764"/>
    <w:rsid w:val="004173DE"/>
    <w:rsid w:val="004174FE"/>
    <w:rsid w:val="004178AF"/>
    <w:rsid w:val="004200A3"/>
    <w:rsid w:val="00420310"/>
    <w:rsid w:val="00420637"/>
    <w:rsid w:val="00420884"/>
    <w:rsid w:val="00420950"/>
    <w:rsid w:val="00420961"/>
    <w:rsid w:val="00420DC0"/>
    <w:rsid w:val="0042119D"/>
    <w:rsid w:val="004211D4"/>
    <w:rsid w:val="0042153B"/>
    <w:rsid w:val="0042174B"/>
    <w:rsid w:val="00422035"/>
    <w:rsid w:val="00422667"/>
    <w:rsid w:val="004227B7"/>
    <w:rsid w:val="00423311"/>
    <w:rsid w:val="0042375B"/>
    <w:rsid w:val="00424061"/>
    <w:rsid w:val="00424A2A"/>
    <w:rsid w:val="0042526D"/>
    <w:rsid w:val="00425693"/>
    <w:rsid w:val="0042576B"/>
    <w:rsid w:val="004257CC"/>
    <w:rsid w:val="00425B9D"/>
    <w:rsid w:val="00425EA6"/>
    <w:rsid w:val="00426065"/>
    <w:rsid w:val="004269D4"/>
    <w:rsid w:val="00426A8D"/>
    <w:rsid w:val="0042750C"/>
    <w:rsid w:val="00427B2B"/>
    <w:rsid w:val="00427EE3"/>
    <w:rsid w:val="004305F0"/>
    <w:rsid w:val="004309CF"/>
    <w:rsid w:val="00430EF7"/>
    <w:rsid w:val="004310AE"/>
    <w:rsid w:val="00431123"/>
    <w:rsid w:val="00432271"/>
    <w:rsid w:val="004326FB"/>
    <w:rsid w:val="00432CAF"/>
    <w:rsid w:val="00432D85"/>
    <w:rsid w:val="00432DAF"/>
    <w:rsid w:val="00432F1D"/>
    <w:rsid w:val="00433453"/>
    <w:rsid w:val="0043439C"/>
    <w:rsid w:val="00434443"/>
    <w:rsid w:val="00434F2E"/>
    <w:rsid w:val="004353E2"/>
    <w:rsid w:val="0043559E"/>
    <w:rsid w:val="00436933"/>
    <w:rsid w:val="00437013"/>
    <w:rsid w:val="0043738B"/>
    <w:rsid w:val="00437685"/>
    <w:rsid w:val="004378CF"/>
    <w:rsid w:val="00437BDF"/>
    <w:rsid w:val="004403BB"/>
    <w:rsid w:val="0044059C"/>
    <w:rsid w:val="0044080A"/>
    <w:rsid w:val="00440A85"/>
    <w:rsid w:val="00440C61"/>
    <w:rsid w:val="00440D18"/>
    <w:rsid w:val="004415BA"/>
    <w:rsid w:val="004418D6"/>
    <w:rsid w:val="00442A02"/>
    <w:rsid w:val="00442F92"/>
    <w:rsid w:val="004430B1"/>
    <w:rsid w:val="0044355A"/>
    <w:rsid w:val="0044367F"/>
    <w:rsid w:val="00443C5F"/>
    <w:rsid w:val="00443D1E"/>
    <w:rsid w:val="0044471D"/>
    <w:rsid w:val="00444943"/>
    <w:rsid w:val="00445565"/>
    <w:rsid w:val="004458E1"/>
    <w:rsid w:val="00445D5D"/>
    <w:rsid w:val="004462E0"/>
    <w:rsid w:val="00446609"/>
    <w:rsid w:val="00447D09"/>
    <w:rsid w:val="00447D3B"/>
    <w:rsid w:val="0045044F"/>
    <w:rsid w:val="004507B5"/>
    <w:rsid w:val="00450D00"/>
    <w:rsid w:val="00450EC7"/>
    <w:rsid w:val="004513BC"/>
    <w:rsid w:val="0045167B"/>
    <w:rsid w:val="00451845"/>
    <w:rsid w:val="00451E8B"/>
    <w:rsid w:val="00452281"/>
    <w:rsid w:val="00452F48"/>
    <w:rsid w:val="0045309C"/>
    <w:rsid w:val="004530EA"/>
    <w:rsid w:val="00453808"/>
    <w:rsid w:val="00453B86"/>
    <w:rsid w:val="00454072"/>
    <w:rsid w:val="004543D8"/>
    <w:rsid w:val="004544F7"/>
    <w:rsid w:val="00454EDD"/>
    <w:rsid w:val="004556C3"/>
    <w:rsid w:val="004561BA"/>
    <w:rsid w:val="00456821"/>
    <w:rsid w:val="00457C67"/>
    <w:rsid w:val="00457D35"/>
    <w:rsid w:val="00460B12"/>
    <w:rsid w:val="00460B69"/>
    <w:rsid w:val="00461BEE"/>
    <w:rsid w:val="00461F74"/>
    <w:rsid w:val="0046225A"/>
    <w:rsid w:val="00463C3F"/>
    <w:rsid w:val="00464CBE"/>
    <w:rsid w:val="004657F2"/>
    <w:rsid w:val="00465960"/>
    <w:rsid w:val="004663A6"/>
    <w:rsid w:val="004671CB"/>
    <w:rsid w:val="00467D8C"/>
    <w:rsid w:val="00470198"/>
    <w:rsid w:val="004707C0"/>
    <w:rsid w:val="00470E05"/>
    <w:rsid w:val="00470F97"/>
    <w:rsid w:val="00471225"/>
    <w:rsid w:val="004714BD"/>
    <w:rsid w:val="00471AE0"/>
    <w:rsid w:val="00471C70"/>
    <w:rsid w:val="0047236D"/>
    <w:rsid w:val="0047256F"/>
    <w:rsid w:val="004731CD"/>
    <w:rsid w:val="00473373"/>
    <w:rsid w:val="004733A7"/>
    <w:rsid w:val="0047373D"/>
    <w:rsid w:val="00474357"/>
    <w:rsid w:val="00474440"/>
    <w:rsid w:val="004747FB"/>
    <w:rsid w:val="00474871"/>
    <w:rsid w:val="00474AB8"/>
    <w:rsid w:val="00474F6C"/>
    <w:rsid w:val="0047506E"/>
    <w:rsid w:val="00475392"/>
    <w:rsid w:val="00475A57"/>
    <w:rsid w:val="004764D9"/>
    <w:rsid w:val="004766AD"/>
    <w:rsid w:val="00476FEF"/>
    <w:rsid w:val="004770EE"/>
    <w:rsid w:val="00477419"/>
    <w:rsid w:val="00477435"/>
    <w:rsid w:val="00477660"/>
    <w:rsid w:val="004777A3"/>
    <w:rsid w:val="00477F48"/>
    <w:rsid w:val="00480B56"/>
    <w:rsid w:val="00480EC0"/>
    <w:rsid w:val="00480F48"/>
    <w:rsid w:val="004811D2"/>
    <w:rsid w:val="00481509"/>
    <w:rsid w:val="00481BD2"/>
    <w:rsid w:val="00481DAC"/>
    <w:rsid w:val="004824A8"/>
    <w:rsid w:val="00482513"/>
    <w:rsid w:val="004828FD"/>
    <w:rsid w:val="004829BB"/>
    <w:rsid w:val="00482A09"/>
    <w:rsid w:val="00482AEF"/>
    <w:rsid w:val="00482E6F"/>
    <w:rsid w:val="0048428D"/>
    <w:rsid w:val="00484688"/>
    <w:rsid w:val="00484E25"/>
    <w:rsid w:val="004855AA"/>
    <w:rsid w:val="0048571B"/>
    <w:rsid w:val="00485737"/>
    <w:rsid w:val="00485C8A"/>
    <w:rsid w:val="00485D93"/>
    <w:rsid w:val="0048666B"/>
    <w:rsid w:val="00486759"/>
    <w:rsid w:val="00486B42"/>
    <w:rsid w:val="00486BB8"/>
    <w:rsid w:val="00486D6E"/>
    <w:rsid w:val="0048736A"/>
    <w:rsid w:val="00487C37"/>
    <w:rsid w:val="00487DDD"/>
    <w:rsid w:val="00487FC5"/>
    <w:rsid w:val="0049012B"/>
    <w:rsid w:val="004908E1"/>
    <w:rsid w:val="00490E51"/>
    <w:rsid w:val="004911D2"/>
    <w:rsid w:val="00491870"/>
    <w:rsid w:val="00491A07"/>
    <w:rsid w:val="00492691"/>
    <w:rsid w:val="004926CC"/>
    <w:rsid w:val="00493569"/>
    <w:rsid w:val="00493946"/>
    <w:rsid w:val="00493ADC"/>
    <w:rsid w:val="0049443A"/>
    <w:rsid w:val="004946BF"/>
    <w:rsid w:val="00494BAB"/>
    <w:rsid w:val="00494C65"/>
    <w:rsid w:val="00494E34"/>
    <w:rsid w:val="004950F9"/>
    <w:rsid w:val="00495239"/>
    <w:rsid w:val="004952F9"/>
    <w:rsid w:val="00496359"/>
    <w:rsid w:val="00496F20"/>
    <w:rsid w:val="00497864"/>
    <w:rsid w:val="00497C56"/>
    <w:rsid w:val="004A0E26"/>
    <w:rsid w:val="004A0F6B"/>
    <w:rsid w:val="004A1001"/>
    <w:rsid w:val="004A11DA"/>
    <w:rsid w:val="004A1386"/>
    <w:rsid w:val="004A1462"/>
    <w:rsid w:val="004A160B"/>
    <w:rsid w:val="004A16ED"/>
    <w:rsid w:val="004A1A30"/>
    <w:rsid w:val="004A2234"/>
    <w:rsid w:val="004A28CF"/>
    <w:rsid w:val="004A3052"/>
    <w:rsid w:val="004A3D54"/>
    <w:rsid w:val="004A43AC"/>
    <w:rsid w:val="004A4641"/>
    <w:rsid w:val="004A566E"/>
    <w:rsid w:val="004A57BD"/>
    <w:rsid w:val="004A5B25"/>
    <w:rsid w:val="004A5CF1"/>
    <w:rsid w:val="004A6156"/>
    <w:rsid w:val="004A7288"/>
    <w:rsid w:val="004A749B"/>
    <w:rsid w:val="004A798F"/>
    <w:rsid w:val="004B017D"/>
    <w:rsid w:val="004B0CB0"/>
    <w:rsid w:val="004B13CC"/>
    <w:rsid w:val="004B1A56"/>
    <w:rsid w:val="004B1D3A"/>
    <w:rsid w:val="004B1E13"/>
    <w:rsid w:val="004B25A5"/>
    <w:rsid w:val="004B25AD"/>
    <w:rsid w:val="004B28A4"/>
    <w:rsid w:val="004B32EA"/>
    <w:rsid w:val="004B3842"/>
    <w:rsid w:val="004B3913"/>
    <w:rsid w:val="004B3D1E"/>
    <w:rsid w:val="004B5656"/>
    <w:rsid w:val="004B5A7F"/>
    <w:rsid w:val="004B5AFA"/>
    <w:rsid w:val="004B62D7"/>
    <w:rsid w:val="004B736F"/>
    <w:rsid w:val="004B7E32"/>
    <w:rsid w:val="004B7E5E"/>
    <w:rsid w:val="004C0204"/>
    <w:rsid w:val="004C0EB9"/>
    <w:rsid w:val="004C17C7"/>
    <w:rsid w:val="004C1B88"/>
    <w:rsid w:val="004C1C66"/>
    <w:rsid w:val="004C2BAA"/>
    <w:rsid w:val="004C2D01"/>
    <w:rsid w:val="004C3018"/>
    <w:rsid w:val="004C308B"/>
    <w:rsid w:val="004C30E6"/>
    <w:rsid w:val="004C31B1"/>
    <w:rsid w:val="004C3237"/>
    <w:rsid w:val="004C3269"/>
    <w:rsid w:val="004C3F7C"/>
    <w:rsid w:val="004C48BA"/>
    <w:rsid w:val="004C4B35"/>
    <w:rsid w:val="004C4E5B"/>
    <w:rsid w:val="004C5B2C"/>
    <w:rsid w:val="004C62EF"/>
    <w:rsid w:val="004C67A9"/>
    <w:rsid w:val="004C6AA6"/>
    <w:rsid w:val="004C6F82"/>
    <w:rsid w:val="004C70E3"/>
    <w:rsid w:val="004C795A"/>
    <w:rsid w:val="004C7F05"/>
    <w:rsid w:val="004C7F72"/>
    <w:rsid w:val="004D0624"/>
    <w:rsid w:val="004D103C"/>
    <w:rsid w:val="004D103D"/>
    <w:rsid w:val="004D1BC5"/>
    <w:rsid w:val="004D2749"/>
    <w:rsid w:val="004D2BCF"/>
    <w:rsid w:val="004D2F23"/>
    <w:rsid w:val="004D3120"/>
    <w:rsid w:val="004D3CE5"/>
    <w:rsid w:val="004D3E8E"/>
    <w:rsid w:val="004D3F96"/>
    <w:rsid w:val="004D41AC"/>
    <w:rsid w:val="004D45B6"/>
    <w:rsid w:val="004D4902"/>
    <w:rsid w:val="004D4E3D"/>
    <w:rsid w:val="004D4E7C"/>
    <w:rsid w:val="004D5378"/>
    <w:rsid w:val="004D549A"/>
    <w:rsid w:val="004D5A1E"/>
    <w:rsid w:val="004D60FA"/>
    <w:rsid w:val="004D614C"/>
    <w:rsid w:val="004D62B1"/>
    <w:rsid w:val="004D65C2"/>
    <w:rsid w:val="004D6AEB"/>
    <w:rsid w:val="004D6DEB"/>
    <w:rsid w:val="004D7005"/>
    <w:rsid w:val="004D7683"/>
    <w:rsid w:val="004D78AA"/>
    <w:rsid w:val="004D7F4A"/>
    <w:rsid w:val="004E0129"/>
    <w:rsid w:val="004E0554"/>
    <w:rsid w:val="004E1256"/>
    <w:rsid w:val="004E12AD"/>
    <w:rsid w:val="004E1459"/>
    <w:rsid w:val="004E17E1"/>
    <w:rsid w:val="004E19C7"/>
    <w:rsid w:val="004E19D7"/>
    <w:rsid w:val="004E1A0B"/>
    <w:rsid w:val="004E1AA7"/>
    <w:rsid w:val="004E1BD3"/>
    <w:rsid w:val="004E2275"/>
    <w:rsid w:val="004E29D7"/>
    <w:rsid w:val="004E32AA"/>
    <w:rsid w:val="004E3901"/>
    <w:rsid w:val="004E3A0C"/>
    <w:rsid w:val="004E4357"/>
    <w:rsid w:val="004E4669"/>
    <w:rsid w:val="004E4CCB"/>
    <w:rsid w:val="004E59C4"/>
    <w:rsid w:val="004E5EEC"/>
    <w:rsid w:val="004E6088"/>
    <w:rsid w:val="004E6205"/>
    <w:rsid w:val="004E6216"/>
    <w:rsid w:val="004E6A9C"/>
    <w:rsid w:val="004E6DC8"/>
    <w:rsid w:val="004E6ED4"/>
    <w:rsid w:val="004F03F3"/>
    <w:rsid w:val="004F0AAB"/>
    <w:rsid w:val="004F0BD1"/>
    <w:rsid w:val="004F0F9D"/>
    <w:rsid w:val="004F11CB"/>
    <w:rsid w:val="004F156A"/>
    <w:rsid w:val="004F1B7A"/>
    <w:rsid w:val="004F2F7E"/>
    <w:rsid w:val="004F310E"/>
    <w:rsid w:val="004F3522"/>
    <w:rsid w:val="004F3F65"/>
    <w:rsid w:val="004F4537"/>
    <w:rsid w:val="004F458F"/>
    <w:rsid w:val="004F59F5"/>
    <w:rsid w:val="004F5EC1"/>
    <w:rsid w:val="004F6955"/>
    <w:rsid w:val="004F6AF3"/>
    <w:rsid w:val="004F707D"/>
    <w:rsid w:val="004F731A"/>
    <w:rsid w:val="004F752B"/>
    <w:rsid w:val="004F7D84"/>
    <w:rsid w:val="00500957"/>
    <w:rsid w:val="00501114"/>
    <w:rsid w:val="00501160"/>
    <w:rsid w:val="0050135A"/>
    <w:rsid w:val="00501B2E"/>
    <w:rsid w:val="00501BF5"/>
    <w:rsid w:val="00501FA8"/>
    <w:rsid w:val="0050233A"/>
    <w:rsid w:val="00502EFF"/>
    <w:rsid w:val="005031DD"/>
    <w:rsid w:val="00503735"/>
    <w:rsid w:val="005044AD"/>
    <w:rsid w:val="005053A8"/>
    <w:rsid w:val="00505A03"/>
    <w:rsid w:val="00505F22"/>
    <w:rsid w:val="00505FD6"/>
    <w:rsid w:val="005060E4"/>
    <w:rsid w:val="0050620E"/>
    <w:rsid w:val="005063CF"/>
    <w:rsid w:val="005064B8"/>
    <w:rsid w:val="00506A24"/>
    <w:rsid w:val="00506E36"/>
    <w:rsid w:val="00506FC8"/>
    <w:rsid w:val="00507322"/>
    <w:rsid w:val="00507D99"/>
    <w:rsid w:val="005105A2"/>
    <w:rsid w:val="005107D4"/>
    <w:rsid w:val="00511BA5"/>
    <w:rsid w:val="00512D30"/>
    <w:rsid w:val="005135BE"/>
    <w:rsid w:val="00513C73"/>
    <w:rsid w:val="00513DE8"/>
    <w:rsid w:val="00514538"/>
    <w:rsid w:val="005149CE"/>
    <w:rsid w:val="00514CA5"/>
    <w:rsid w:val="00515416"/>
    <w:rsid w:val="00515511"/>
    <w:rsid w:val="00515F44"/>
    <w:rsid w:val="0051655B"/>
    <w:rsid w:val="00516982"/>
    <w:rsid w:val="00516C8D"/>
    <w:rsid w:val="00516FA8"/>
    <w:rsid w:val="00517162"/>
    <w:rsid w:val="00517177"/>
    <w:rsid w:val="005173B9"/>
    <w:rsid w:val="00517C81"/>
    <w:rsid w:val="00517DC4"/>
    <w:rsid w:val="00517FF6"/>
    <w:rsid w:val="0052011B"/>
    <w:rsid w:val="005201C1"/>
    <w:rsid w:val="00520640"/>
    <w:rsid w:val="00520AFE"/>
    <w:rsid w:val="00520C42"/>
    <w:rsid w:val="00520F31"/>
    <w:rsid w:val="00520FBB"/>
    <w:rsid w:val="00521106"/>
    <w:rsid w:val="00521124"/>
    <w:rsid w:val="005211E1"/>
    <w:rsid w:val="00522158"/>
    <w:rsid w:val="0052241D"/>
    <w:rsid w:val="00522728"/>
    <w:rsid w:val="00522C77"/>
    <w:rsid w:val="00522EF6"/>
    <w:rsid w:val="00523129"/>
    <w:rsid w:val="00523288"/>
    <w:rsid w:val="00523340"/>
    <w:rsid w:val="005234BA"/>
    <w:rsid w:val="00523F14"/>
    <w:rsid w:val="00524032"/>
    <w:rsid w:val="00524036"/>
    <w:rsid w:val="0052417D"/>
    <w:rsid w:val="00524A2B"/>
    <w:rsid w:val="00524B1D"/>
    <w:rsid w:val="00525A84"/>
    <w:rsid w:val="00525AF9"/>
    <w:rsid w:val="00526EA3"/>
    <w:rsid w:val="00527373"/>
    <w:rsid w:val="00527423"/>
    <w:rsid w:val="0052767C"/>
    <w:rsid w:val="005276BC"/>
    <w:rsid w:val="005277A9"/>
    <w:rsid w:val="005279A1"/>
    <w:rsid w:val="00527ADC"/>
    <w:rsid w:val="0053020D"/>
    <w:rsid w:val="00530478"/>
    <w:rsid w:val="00530AD4"/>
    <w:rsid w:val="00531189"/>
    <w:rsid w:val="00531929"/>
    <w:rsid w:val="00531A4D"/>
    <w:rsid w:val="005320AD"/>
    <w:rsid w:val="0053312B"/>
    <w:rsid w:val="005331E3"/>
    <w:rsid w:val="00533BB6"/>
    <w:rsid w:val="00534244"/>
    <w:rsid w:val="00534B63"/>
    <w:rsid w:val="00534D2E"/>
    <w:rsid w:val="0053508B"/>
    <w:rsid w:val="00535479"/>
    <w:rsid w:val="00535D75"/>
    <w:rsid w:val="00535F1F"/>
    <w:rsid w:val="0053600B"/>
    <w:rsid w:val="0053643D"/>
    <w:rsid w:val="005366B9"/>
    <w:rsid w:val="00536718"/>
    <w:rsid w:val="00536B9C"/>
    <w:rsid w:val="00537008"/>
    <w:rsid w:val="005370EE"/>
    <w:rsid w:val="005371C9"/>
    <w:rsid w:val="0053755A"/>
    <w:rsid w:val="00537B43"/>
    <w:rsid w:val="00540074"/>
    <w:rsid w:val="005401FC"/>
    <w:rsid w:val="00540378"/>
    <w:rsid w:val="00540D5A"/>
    <w:rsid w:val="00541176"/>
    <w:rsid w:val="0054160A"/>
    <w:rsid w:val="00541830"/>
    <w:rsid w:val="005419DA"/>
    <w:rsid w:val="005419DC"/>
    <w:rsid w:val="0054224A"/>
    <w:rsid w:val="0054267C"/>
    <w:rsid w:val="00542B90"/>
    <w:rsid w:val="00542C03"/>
    <w:rsid w:val="00542CDB"/>
    <w:rsid w:val="0054343B"/>
    <w:rsid w:val="0054358B"/>
    <w:rsid w:val="005445B1"/>
    <w:rsid w:val="00544FD5"/>
    <w:rsid w:val="0054549D"/>
    <w:rsid w:val="0054561E"/>
    <w:rsid w:val="0054579D"/>
    <w:rsid w:val="00545903"/>
    <w:rsid w:val="0054628C"/>
    <w:rsid w:val="0054645B"/>
    <w:rsid w:val="00546883"/>
    <w:rsid w:val="0054703F"/>
    <w:rsid w:val="005474EB"/>
    <w:rsid w:val="00550021"/>
    <w:rsid w:val="005500D7"/>
    <w:rsid w:val="0055016F"/>
    <w:rsid w:val="0055026C"/>
    <w:rsid w:val="005502C6"/>
    <w:rsid w:val="00550351"/>
    <w:rsid w:val="0055060F"/>
    <w:rsid w:val="00550721"/>
    <w:rsid w:val="005510AB"/>
    <w:rsid w:val="00551363"/>
    <w:rsid w:val="005520F3"/>
    <w:rsid w:val="00552840"/>
    <w:rsid w:val="00552859"/>
    <w:rsid w:val="005531E9"/>
    <w:rsid w:val="00553D58"/>
    <w:rsid w:val="00553D69"/>
    <w:rsid w:val="005541B6"/>
    <w:rsid w:val="005551F4"/>
    <w:rsid w:val="0055551A"/>
    <w:rsid w:val="005556E9"/>
    <w:rsid w:val="00555B80"/>
    <w:rsid w:val="00556986"/>
    <w:rsid w:val="00556E18"/>
    <w:rsid w:val="00557046"/>
    <w:rsid w:val="0055729E"/>
    <w:rsid w:val="00557397"/>
    <w:rsid w:val="00557516"/>
    <w:rsid w:val="0056015F"/>
    <w:rsid w:val="00560192"/>
    <w:rsid w:val="005609FD"/>
    <w:rsid w:val="00560A92"/>
    <w:rsid w:val="00560FA3"/>
    <w:rsid w:val="005611C3"/>
    <w:rsid w:val="00561619"/>
    <w:rsid w:val="00561C26"/>
    <w:rsid w:val="00561F2D"/>
    <w:rsid w:val="00562467"/>
    <w:rsid w:val="00563002"/>
    <w:rsid w:val="0056300D"/>
    <w:rsid w:val="00563206"/>
    <w:rsid w:val="0056347A"/>
    <w:rsid w:val="00564208"/>
    <w:rsid w:val="0056622A"/>
    <w:rsid w:val="00566334"/>
    <w:rsid w:val="00566C20"/>
    <w:rsid w:val="00567187"/>
    <w:rsid w:val="00567391"/>
    <w:rsid w:val="005673B9"/>
    <w:rsid w:val="00567482"/>
    <w:rsid w:val="005674DA"/>
    <w:rsid w:val="00567D81"/>
    <w:rsid w:val="00567E60"/>
    <w:rsid w:val="005701A5"/>
    <w:rsid w:val="005704EF"/>
    <w:rsid w:val="00570AD7"/>
    <w:rsid w:val="00570FE8"/>
    <w:rsid w:val="00571A2E"/>
    <w:rsid w:val="00572095"/>
    <w:rsid w:val="005720AC"/>
    <w:rsid w:val="005721FE"/>
    <w:rsid w:val="0057386C"/>
    <w:rsid w:val="00573C43"/>
    <w:rsid w:val="0057512C"/>
    <w:rsid w:val="00575B3D"/>
    <w:rsid w:val="005767D3"/>
    <w:rsid w:val="00576959"/>
    <w:rsid w:val="005772C2"/>
    <w:rsid w:val="00577A6D"/>
    <w:rsid w:val="00577D11"/>
    <w:rsid w:val="00577D5D"/>
    <w:rsid w:val="005802B5"/>
    <w:rsid w:val="005809EC"/>
    <w:rsid w:val="00581423"/>
    <w:rsid w:val="0058160B"/>
    <w:rsid w:val="00581A54"/>
    <w:rsid w:val="00581FD0"/>
    <w:rsid w:val="00582AA7"/>
    <w:rsid w:val="00582FA6"/>
    <w:rsid w:val="00583328"/>
    <w:rsid w:val="0058334F"/>
    <w:rsid w:val="005833EC"/>
    <w:rsid w:val="00583891"/>
    <w:rsid w:val="00583E28"/>
    <w:rsid w:val="00583FB4"/>
    <w:rsid w:val="005852F8"/>
    <w:rsid w:val="00585540"/>
    <w:rsid w:val="00585568"/>
    <w:rsid w:val="0058594A"/>
    <w:rsid w:val="00585A7D"/>
    <w:rsid w:val="00585E72"/>
    <w:rsid w:val="00586083"/>
    <w:rsid w:val="00587375"/>
    <w:rsid w:val="00587889"/>
    <w:rsid w:val="0059018B"/>
    <w:rsid w:val="0059043C"/>
    <w:rsid w:val="00590593"/>
    <w:rsid w:val="00590F56"/>
    <w:rsid w:val="00591AD2"/>
    <w:rsid w:val="00591AF9"/>
    <w:rsid w:val="00591EAB"/>
    <w:rsid w:val="00591F0E"/>
    <w:rsid w:val="00592116"/>
    <w:rsid w:val="005926BA"/>
    <w:rsid w:val="00592850"/>
    <w:rsid w:val="00592A0A"/>
    <w:rsid w:val="00592BC6"/>
    <w:rsid w:val="00592E42"/>
    <w:rsid w:val="00593425"/>
    <w:rsid w:val="0059390C"/>
    <w:rsid w:val="00593F6A"/>
    <w:rsid w:val="0059412D"/>
    <w:rsid w:val="0059447C"/>
    <w:rsid w:val="0059536B"/>
    <w:rsid w:val="00595F34"/>
    <w:rsid w:val="00596211"/>
    <w:rsid w:val="0059646C"/>
    <w:rsid w:val="00596C09"/>
    <w:rsid w:val="005978CC"/>
    <w:rsid w:val="00597DD4"/>
    <w:rsid w:val="00597F13"/>
    <w:rsid w:val="00597F3B"/>
    <w:rsid w:val="005A0005"/>
    <w:rsid w:val="005A03B5"/>
    <w:rsid w:val="005A09D0"/>
    <w:rsid w:val="005A139D"/>
    <w:rsid w:val="005A1591"/>
    <w:rsid w:val="005A15D9"/>
    <w:rsid w:val="005A16C1"/>
    <w:rsid w:val="005A1C02"/>
    <w:rsid w:val="005A1FBE"/>
    <w:rsid w:val="005A2FC2"/>
    <w:rsid w:val="005A31B9"/>
    <w:rsid w:val="005A341C"/>
    <w:rsid w:val="005A343E"/>
    <w:rsid w:val="005A3918"/>
    <w:rsid w:val="005A3B73"/>
    <w:rsid w:val="005A3BF9"/>
    <w:rsid w:val="005A3E0E"/>
    <w:rsid w:val="005A4526"/>
    <w:rsid w:val="005A499B"/>
    <w:rsid w:val="005A5042"/>
    <w:rsid w:val="005A5167"/>
    <w:rsid w:val="005A5ABC"/>
    <w:rsid w:val="005A5EB6"/>
    <w:rsid w:val="005A5F9F"/>
    <w:rsid w:val="005A6D6C"/>
    <w:rsid w:val="005A7965"/>
    <w:rsid w:val="005A7FFC"/>
    <w:rsid w:val="005B00E9"/>
    <w:rsid w:val="005B01B3"/>
    <w:rsid w:val="005B041C"/>
    <w:rsid w:val="005B07BA"/>
    <w:rsid w:val="005B0C96"/>
    <w:rsid w:val="005B0F8D"/>
    <w:rsid w:val="005B158E"/>
    <w:rsid w:val="005B1710"/>
    <w:rsid w:val="005B213D"/>
    <w:rsid w:val="005B238F"/>
    <w:rsid w:val="005B28A7"/>
    <w:rsid w:val="005B3168"/>
    <w:rsid w:val="005B327A"/>
    <w:rsid w:val="005B484A"/>
    <w:rsid w:val="005B5EB8"/>
    <w:rsid w:val="005B6333"/>
    <w:rsid w:val="005B6B85"/>
    <w:rsid w:val="005B74BF"/>
    <w:rsid w:val="005B78D4"/>
    <w:rsid w:val="005B7A00"/>
    <w:rsid w:val="005C063E"/>
    <w:rsid w:val="005C14F9"/>
    <w:rsid w:val="005C1682"/>
    <w:rsid w:val="005C1B9B"/>
    <w:rsid w:val="005C1DD5"/>
    <w:rsid w:val="005C1DDD"/>
    <w:rsid w:val="005C1F42"/>
    <w:rsid w:val="005C2216"/>
    <w:rsid w:val="005C2311"/>
    <w:rsid w:val="005C244B"/>
    <w:rsid w:val="005C2868"/>
    <w:rsid w:val="005C302A"/>
    <w:rsid w:val="005C3154"/>
    <w:rsid w:val="005C358D"/>
    <w:rsid w:val="005C3CBB"/>
    <w:rsid w:val="005C4038"/>
    <w:rsid w:val="005C4DE5"/>
    <w:rsid w:val="005C4E76"/>
    <w:rsid w:val="005C55AA"/>
    <w:rsid w:val="005C63F7"/>
    <w:rsid w:val="005C6E3F"/>
    <w:rsid w:val="005C73FF"/>
    <w:rsid w:val="005C778B"/>
    <w:rsid w:val="005D03CF"/>
    <w:rsid w:val="005D05FE"/>
    <w:rsid w:val="005D08CE"/>
    <w:rsid w:val="005D0928"/>
    <w:rsid w:val="005D13C7"/>
    <w:rsid w:val="005D1940"/>
    <w:rsid w:val="005D199F"/>
    <w:rsid w:val="005D22A1"/>
    <w:rsid w:val="005D2ADC"/>
    <w:rsid w:val="005D2EBF"/>
    <w:rsid w:val="005D300B"/>
    <w:rsid w:val="005D3722"/>
    <w:rsid w:val="005D39E3"/>
    <w:rsid w:val="005D3B91"/>
    <w:rsid w:val="005D3CB9"/>
    <w:rsid w:val="005D3D1E"/>
    <w:rsid w:val="005D3DA1"/>
    <w:rsid w:val="005D5FE3"/>
    <w:rsid w:val="005D6017"/>
    <w:rsid w:val="005D7118"/>
    <w:rsid w:val="005D717D"/>
    <w:rsid w:val="005D78C8"/>
    <w:rsid w:val="005D7C7C"/>
    <w:rsid w:val="005E0A1A"/>
    <w:rsid w:val="005E0D3D"/>
    <w:rsid w:val="005E2204"/>
    <w:rsid w:val="005E3432"/>
    <w:rsid w:val="005E385D"/>
    <w:rsid w:val="005E3F91"/>
    <w:rsid w:val="005E4150"/>
    <w:rsid w:val="005E45D5"/>
    <w:rsid w:val="005E46A0"/>
    <w:rsid w:val="005E478D"/>
    <w:rsid w:val="005E48D3"/>
    <w:rsid w:val="005E4AA4"/>
    <w:rsid w:val="005E51E2"/>
    <w:rsid w:val="005E7217"/>
    <w:rsid w:val="005E736F"/>
    <w:rsid w:val="005E7C32"/>
    <w:rsid w:val="005F00D7"/>
    <w:rsid w:val="005F07F6"/>
    <w:rsid w:val="005F1078"/>
    <w:rsid w:val="005F109D"/>
    <w:rsid w:val="005F1367"/>
    <w:rsid w:val="005F1623"/>
    <w:rsid w:val="005F18F4"/>
    <w:rsid w:val="005F1BAF"/>
    <w:rsid w:val="005F1BEC"/>
    <w:rsid w:val="005F24EB"/>
    <w:rsid w:val="005F26F7"/>
    <w:rsid w:val="005F299D"/>
    <w:rsid w:val="005F29EA"/>
    <w:rsid w:val="005F2AD5"/>
    <w:rsid w:val="005F301F"/>
    <w:rsid w:val="005F3604"/>
    <w:rsid w:val="005F3EF5"/>
    <w:rsid w:val="005F5956"/>
    <w:rsid w:val="005F5B5B"/>
    <w:rsid w:val="005F5CCA"/>
    <w:rsid w:val="005F6E39"/>
    <w:rsid w:val="005F70C8"/>
    <w:rsid w:val="005F7C57"/>
    <w:rsid w:val="005F7CC5"/>
    <w:rsid w:val="00600915"/>
    <w:rsid w:val="00600B3A"/>
    <w:rsid w:val="00601D10"/>
    <w:rsid w:val="00601F18"/>
    <w:rsid w:val="0060214B"/>
    <w:rsid w:val="0060235B"/>
    <w:rsid w:val="006027E9"/>
    <w:rsid w:val="00602A5A"/>
    <w:rsid w:val="00602FD5"/>
    <w:rsid w:val="006031AF"/>
    <w:rsid w:val="0060401C"/>
    <w:rsid w:val="00605089"/>
    <w:rsid w:val="00606238"/>
    <w:rsid w:val="00606FA6"/>
    <w:rsid w:val="00607225"/>
    <w:rsid w:val="00607582"/>
    <w:rsid w:val="006101E3"/>
    <w:rsid w:val="006108C6"/>
    <w:rsid w:val="0061131A"/>
    <w:rsid w:val="006115D8"/>
    <w:rsid w:val="0061254E"/>
    <w:rsid w:val="00612A01"/>
    <w:rsid w:val="00612D7F"/>
    <w:rsid w:val="00613150"/>
    <w:rsid w:val="00613300"/>
    <w:rsid w:val="006134C5"/>
    <w:rsid w:val="00613C9E"/>
    <w:rsid w:val="00613DD2"/>
    <w:rsid w:val="00613EA0"/>
    <w:rsid w:val="00614A1B"/>
    <w:rsid w:val="00614B09"/>
    <w:rsid w:val="00615BE4"/>
    <w:rsid w:val="00615DAD"/>
    <w:rsid w:val="00616364"/>
    <w:rsid w:val="00616A66"/>
    <w:rsid w:val="00616EB1"/>
    <w:rsid w:val="00616FB0"/>
    <w:rsid w:val="006176D6"/>
    <w:rsid w:val="006219E8"/>
    <w:rsid w:val="00621B2F"/>
    <w:rsid w:val="00621EB8"/>
    <w:rsid w:val="006222D5"/>
    <w:rsid w:val="006227A9"/>
    <w:rsid w:val="006228FB"/>
    <w:rsid w:val="006233E9"/>
    <w:rsid w:val="006235AF"/>
    <w:rsid w:val="00623654"/>
    <w:rsid w:val="00623664"/>
    <w:rsid w:val="00624BED"/>
    <w:rsid w:val="00624C33"/>
    <w:rsid w:val="00625AB4"/>
    <w:rsid w:val="00625C4F"/>
    <w:rsid w:val="00625D26"/>
    <w:rsid w:val="00625E4D"/>
    <w:rsid w:val="00625F2B"/>
    <w:rsid w:val="00630327"/>
    <w:rsid w:val="00630A45"/>
    <w:rsid w:val="00630C2E"/>
    <w:rsid w:val="00630F24"/>
    <w:rsid w:val="00631515"/>
    <w:rsid w:val="00631724"/>
    <w:rsid w:val="00631767"/>
    <w:rsid w:val="006318FA"/>
    <w:rsid w:val="00631DE2"/>
    <w:rsid w:val="00632746"/>
    <w:rsid w:val="00632C47"/>
    <w:rsid w:val="00633283"/>
    <w:rsid w:val="00633D05"/>
    <w:rsid w:val="00633EBA"/>
    <w:rsid w:val="0063428B"/>
    <w:rsid w:val="00634330"/>
    <w:rsid w:val="00634553"/>
    <w:rsid w:val="00634A6B"/>
    <w:rsid w:val="00634BAB"/>
    <w:rsid w:val="006359C4"/>
    <w:rsid w:val="0063606D"/>
    <w:rsid w:val="00636093"/>
    <w:rsid w:val="006368D7"/>
    <w:rsid w:val="00636FA6"/>
    <w:rsid w:val="006378DB"/>
    <w:rsid w:val="00637A27"/>
    <w:rsid w:val="00637F77"/>
    <w:rsid w:val="0064039E"/>
    <w:rsid w:val="0064089C"/>
    <w:rsid w:val="00641472"/>
    <w:rsid w:val="00641D0A"/>
    <w:rsid w:val="006422D4"/>
    <w:rsid w:val="00642602"/>
    <w:rsid w:val="0064378B"/>
    <w:rsid w:val="00643947"/>
    <w:rsid w:val="00643C01"/>
    <w:rsid w:val="00643EAA"/>
    <w:rsid w:val="00644035"/>
    <w:rsid w:val="0064423B"/>
    <w:rsid w:val="006444B1"/>
    <w:rsid w:val="006449BA"/>
    <w:rsid w:val="00644AB2"/>
    <w:rsid w:val="00644B0C"/>
    <w:rsid w:val="00644E6E"/>
    <w:rsid w:val="00644F7E"/>
    <w:rsid w:val="00645F29"/>
    <w:rsid w:val="006467A8"/>
    <w:rsid w:val="00646843"/>
    <w:rsid w:val="00646C9D"/>
    <w:rsid w:val="00646CB8"/>
    <w:rsid w:val="00647311"/>
    <w:rsid w:val="006508D0"/>
    <w:rsid w:val="00650A70"/>
    <w:rsid w:val="00650FE2"/>
    <w:rsid w:val="00651ABD"/>
    <w:rsid w:val="00651D50"/>
    <w:rsid w:val="0065231E"/>
    <w:rsid w:val="006526BA"/>
    <w:rsid w:val="00652921"/>
    <w:rsid w:val="00652B89"/>
    <w:rsid w:val="006530E7"/>
    <w:rsid w:val="00653C6D"/>
    <w:rsid w:val="00653EDA"/>
    <w:rsid w:val="00654610"/>
    <w:rsid w:val="0065461D"/>
    <w:rsid w:val="00654654"/>
    <w:rsid w:val="006554C3"/>
    <w:rsid w:val="00655597"/>
    <w:rsid w:val="006567D5"/>
    <w:rsid w:val="00657664"/>
    <w:rsid w:val="0065790F"/>
    <w:rsid w:val="0065792E"/>
    <w:rsid w:val="00657F7E"/>
    <w:rsid w:val="00657FDF"/>
    <w:rsid w:val="00660457"/>
    <w:rsid w:val="00660659"/>
    <w:rsid w:val="006614E4"/>
    <w:rsid w:val="00661581"/>
    <w:rsid w:val="00661E51"/>
    <w:rsid w:val="0066286E"/>
    <w:rsid w:val="006628C6"/>
    <w:rsid w:val="00663290"/>
    <w:rsid w:val="0066331B"/>
    <w:rsid w:val="00665274"/>
    <w:rsid w:val="006660DD"/>
    <w:rsid w:val="006663EA"/>
    <w:rsid w:val="00666877"/>
    <w:rsid w:val="00666A99"/>
    <w:rsid w:val="00666C06"/>
    <w:rsid w:val="00666DF8"/>
    <w:rsid w:val="00667B7A"/>
    <w:rsid w:val="00667F2C"/>
    <w:rsid w:val="0067013A"/>
    <w:rsid w:val="00670211"/>
    <w:rsid w:val="00670843"/>
    <w:rsid w:val="006708D1"/>
    <w:rsid w:val="00670A55"/>
    <w:rsid w:val="00670C34"/>
    <w:rsid w:val="00670E24"/>
    <w:rsid w:val="00670EC1"/>
    <w:rsid w:val="00670F38"/>
    <w:rsid w:val="00670F76"/>
    <w:rsid w:val="00672003"/>
    <w:rsid w:val="00672324"/>
    <w:rsid w:val="00672A35"/>
    <w:rsid w:val="00672C29"/>
    <w:rsid w:val="006732F4"/>
    <w:rsid w:val="006736A6"/>
    <w:rsid w:val="00673703"/>
    <w:rsid w:val="0067383A"/>
    <w:rsid w:val="00674338"/>
    <w:rsid w:val="00674729"/>
    <w:rsid w:val="00674BB1"/>
    <w:rsid w:val="00675071"/>
    <w:rsid w:val="00675245"/>
    <w:rsid w:val="0067527C"/>
    <w:rsid w:val="00675452"/>
    <w:rsid w:val="00675882"/>
    <w:rsid w:val="006759F1"/>
    <w:rsid w:val="00675BB7"/>
    <w:rsid w:val="00675DA2"/>
    <w:rsid w:val="0067660A"/>
    <w:rsid w:val="00677155"/>
    <w:rsid w:val="00677C88"/>
    <w:rsid w:val="006809E4"/>
    <w:rsid w:val="00680AE0"/>
    <w:rsid w:val="0068117C"/>
    <w:rsid w:val="006818CE"/>
    <w:rsid w:val="00681AF5"/>
    <w:rsid w:val="00681B65"/>
    <w:rsid w:val="00681C0E"/>
    <w:rsid w:val="006824D8"/>
    <w:rsid w:val="0068262C"/>
    <w:rsid w:val="00682644"/>
    <w:rsid w:val="006826B7"/>
    <w:rsid w:val="0068276B"/>
    <w:rsid w:val="006830D9"/>
    <w:rsid w:val="006837EB"/>
    <w:rsid w:val="00683B9E"/>
    <w:rsid w:val="00683D4D"/>
    <w:rsid w:val="006849A9"/>
    <w:rsid w:val="006852EF"/>
    <w:rsid w:val="006854F2"/>
    <w:rsid w:val="00685BB5"/>
    <w:rsid w:val="00686B48"/>
    <w:rsid w:val="006870C4"/>
    <w:rsid w:val="006870E0"/>
    <w:rsid w:val="00687FEE"/>
    <w:rsid w:val="006900D3"/>
    <w:rsid w:val="00690108"/>
    <w:rsid w:val="00690311"/>
    <w:rsid w:val="00691082"/>
    <w:rsid w:val="00691FF6"/>
    <w:rsid w:val="00692DDA"/>
    <w:rsid w:val="0069315D"/>
    <w:rsid w:val="00694353"/>
    <w:rsid w:val="0069467D"/>
    <w:rsid w:val="006949E8"/>
    <w:rsid w:val="00694E12"/>
    <w:rsid w:val="00694E3A"/>
    <w:rsid w:val="00695173"/>
    <w:rsid w:val="00695603"/>
    <w:rsid w:val="00695608"/>
    <w:rsid w:val="00695634"/>
    <w:rsid w:val="00695F12"/>
    <w:rsid w:val="00696643"/>
    <w:rsid w:val="00696BF4"/>
    <w:rsid w:val="00696EF1"/>
    <w:rsid w:val="006974E7"/>
    <w:rsid w:val="00697596"/>
    <w:rsid w:val="00697900"/>
    <w:rsid w:val="00697959"/>
    <w:rsid w:val="00697E29"/>
    <w:rsid w:val="006A09B2"/>
    <w:rsid w:val="006A0E5A"/>
    <w:rsid w:val="006A1242"/>
    <w:rsid w:val="006A16CD"/>
    <w:rsid w:val="006A1773"/>
    <w:rsid w:val="006A23DA"/>
    <w:rsid w:val="006A2808"/>
    <w:rsid w:val="006A295D"/>
    <w:rsid w:val="006A3C89"/>
    <w:rsid w:val="006A3D72"/>
    <w:rsid w:val="006A4248"/>
    <w:rsid w:val="006A45A3"/>
    <w:rsid w:val="006A49C0"/>
    <w:rsid w:val="006A4B67"/>
    <w:rsid w:val="006A4FD8"/>
    <w:rsid w:val="006A5BEC"/>
    <w:rsid w:val="006A619C"/>
    <w:rsid w:val="006A6337"/>
    <w:rsid w:val="006A6497"/>
    <w:rsid w:val="006A6748"/>
    <w:rsid w:val="006A7F98"/>
    <w:rsid w:val="006B05AA"/>
    <w:rsid w:val="006B0CFD"/>
    <w:rsid w:val="006B0F9A"/>
    <w:rsid w:val="006B108B"/>
    <w:rsid w:val="006B1323"/>
    <w:rsid w:val="006B156C"/>
    <w:rsid w:val="006B1856"/>
    <w:rsid w:val="006B1B26"/>
    <w:rsid w:val="006B28AB"/>
    <w:rsid w:val="006B2BA8"/>
    <w:rsid w:val="006B2CC8"/>
    <w:rsid w:val="006B33E4"/>
    <w:rsid w:val="006B3D8B"/>
    <w:rsid w:val="006B471F"/>
    <w:rsid w:val="006B4908"/>
    <w:rsid w:val="006B4D04"/>
    <w:rsid w:val="006B509D"/>
    <w:rsid w:val="006B58E7"/>
    <w:rsid w:val="006B5967"/>
    <w:rsid w:val="006B5A0A"/>
    <w:rsid w:val="006B6089"/>
    <w:rsid w:val="006B656D"/>
    <w:rsid w:val="006B6D8B"/>
    <w:rsid w:val="006B7279"/>
    <w:rsid w:val="006B7A25"/>
    <w:rsid w:val="006B7A97"/>
    <w:rsid w:val="006B7C7A"/>
    <w:rsid w:val="006C0120"/>
    <w:rsid w:val="006C09A5"/>
    <w:rsid w:val="006C1278"/>
    <w:rsid w:val="006C1543"/>
    <w:rsid w:val="006C195C"/>
    <w:rsid w:val="006C1D59"/>
    <w:rsid w:val="006C21FE"/>
    <w:rsid w:val="006C2279"/>
    <w:rsid w:val="006C248E"/>
    <w:rsid w:val="006C28C1"/>
    <w:rsid w:val="006C47D8"/>
    <w:rsid w:val="006C49C5"/>
    <w:rsid w:val="006C4BAD"/>
    <w:rsid w:val="006C5124"/>
    <w:rsid w:val="006C5B18"/>
    <w:rsid w:val="006C5B30"/>
    <w:rsid w:val="006C5D58"/>
    <w:rsid w:val="006C610D"/>
    <w:rsid w:val="006C6385"/>
    <w:rsid w:val="006C72ED"/>
    <w:rsid w:val="006C789A"/>
    <w:rsid w:val="006C7F35"/>
    <w:rsid w:val="006D00AE"/>
    <w:rsid w:val="006D1335"/>
    <w:rsid w:val="006D1765"/>
    <w:rsid w:val="006D22EB"/>
    <w:rsid w:val="006D2BFF"/>
    <w:rsid w:val="006D36FF"/>
    <w:rsid w:val="006D3FDF"/>
    <w:rsid w:val="006D44BA"/>
    <w:rsid w:val="006D4505"/>
    <w:rsid w:val="006D4AE8"/>
    <w:rsid w:val="006D4C32"/>
    <w:rsid w:val="006D5CE4"/>
    <w:rsid w:val="006D5D80"/>
    <w:rsid w:val="006D6752"/>
    <w:rsid w:val="006D679E"/>
    <w:rsid w:val="006D6900"/>
    <w:rsid w:val="006D70D2"/>
    <w:rsid w:val="006D7322"/>
    <w:rsid w:val="006D7B8C"/>
    <w:rsid w:val="006D7F63"/>
    <w:rsid w:val="006E02F5"/>
    <w:rsid w:val="006E0BBF"/>
    <w:rsid w:val="006E1D7C"/>
    <w:rsid w:val="006E1E04"/>
    <w:rsid w:val="006E2066"/>
    <w:rsid w:val="006E2079"/>
    <w:rsid w:val="006E2D22"/>
    <w:rsid w:val="006E339E"/>
    <w:rsid w:val="006E3AEB"/>
    <w:rsid w:val="006E3BF2"/>
    <w:rsid w:val="006E3D5C"/>
    <w:rsid w:val="006E3E7A"/>
    <w:rsid w:val="006E4171"/>
    <w:rsid w:val="006E46D3"/>
    <w:rsid w:val="006E4B2B"/>
    <w:rsid w:val="006E4EEA"/>
    <w:rsid w:val="006E4F18"/>
    <w:rsid w:val="006E4F9B"/>
    <w:rsid w:val="006E4FDE"/>
    <w:rsid w:val="006E537C"/>
    <w:rsid w:val="006E5411"/>
    <w:rsid w:val="006E6DCD"/>
    <w:rsid w:val="006F01B7"/>
    <w:rsid w:val="006F039E"/>
    <w:rsid w:val="006F0449"/>
    <w:rsid w:val="006F0BFB"/>
    <w:rsid w:val="006F0E74"/>
    <w:rsid w:val="006F1097"/>
    <w:rsid w:val="006F1507"/>
    <w:rsid w:val="006F1686"/>
    <w:rsid w:val="006F19DA"/>
    <w:rsid w:val="006F1C44"/>
    <w:rsid w:val="006F1EB8"/>
    <w:rsid w:val="006F2662"/>
    <w:rsid w:val="006F2967"/>
    <w:rsid w:val="006F2DBD"/>
    <w:rsid w:val="006F348C"/>
    <w:rsid w:val="006F35D5"/>
    <w:rsid w:val="006F36B3"/>
    <w:rsid w:val="006F39BF"/>
    <w:rsid w:val="006F3D87"/>
    <w:rsid w:val="006F3FCE"/>
    <w:rsid w:val="006F4246"/>
    <w:rsid w:val="006F4379"/>
    <w:rsid w:val="006F65D9"/>
    <w:rsid w:val="006F69EA"/>
    <w:rsid w:val="006F7C86"/>
    <w:rsid w:val="007000E8"/>
    <w:rsid w:val="00700D31"/>
    <w:rsid w:val="0070110D"/>
    <w:rsid w:val="00701304"/>
    <w:rsid w:val="007014AF"/>
    <w:rsid w:val="0070154C"/>
    <w:rsid w:val="007015FD"/>
    <w:rsid w:val="00701A42"/>
    <w:rsid w:val="00701D31"/>
    <w:rsid w:val="00701EAA"/>
    <w:rsid w:val="00702784"/>
    <w:rsid w:val="007029F4"/>
    <w:rsid w:val="00702CF8"/>
    <w:rsid w:val="0070303B"/>
    <w:rsid w:val="007035E5"/>
    <w:rsid w:val="007039E8"/>
    <w:rsid w:val="0070440A"/>
    <w:rsid w:val="00704A11"/>
    <w:rsid w:val="0070500C"/>
    <w:rsid w:val="00705434"/>
    <w:rsid w:val="00705A07"/>
    <w:rsid w:val="007060C3"/>
    <w:rsid w:val="007062B4"/>
    <w:rsid w:val="007066E7"/>
    <w:rsid w:val="007074BE"/>
    <w:rsid w:val="00707932"/>
    <w:rsid w:val="0071009E"/>
    <w:rsid w:val="0071018B"/>
    <w:rsid w:val="00710293"/>
    <w:rsid w:val="0071038B"/>
    <w:rsid w:val="00710467"/>
    <w:rsid w:val="00710AFB"/>
    <w:rsid w:val="00711425"/>
    <w:rsid w:val="00711573"/>
    <w:rsid w:val="007115D3"/>
    <w:rsid w:val="007115DB"/>
    <w:rsid w:val="00711677"/>
    <w:rsid w:val="00711789"/>
    <w:rsid w:val="00711834"/>
    <w:rsid w:val="00711D60"/>
    <w:rsid w:val="007126E1"/>
    <w:rsid w:val="0071271C"/>
    <w:rsid w:val="00714D48"/>
    <w:rsid w:val="00714E1D"/>
    <w:rsid w:val="0071522C"/>
    <w:rsid w:val="007158A0"/>
    <w:rsid w:val="0071618C"/>
    <w:rsid w:val="007168AF"/>
    <w:rsid w:val="00717C45"/>
    <w:rsid w:val="00717D9E"/>
    <w:rsid w:val="00720730"/>
    <w:rsid w:val="00720E21"/>
    <w:rsid w:val="007212C2"/>
    <w:rsid w:val="00721BE5"/>
    <w:rsid w:val="00721C3A"/>
    <w:rsid w:val="00722536"/>
    <w:rsid w:val="0072268E"/>
    <w:rsid w:val="00722983"/>
    <w:rsid w:val="00722FA2"/>
    <w:rsid w:val="00722FAA"/>
    <w:rsid w:val="007236B7"/>
    <w:rsid w:val="00723836"/>
    <w:rsid w:val="00723C44"/>
    <w:rsid w:val="00724209"/>
    <w:rsid w:val="00724827"/>
    <w:rsid w:val="00724A04"/>
    <w:rsid w:val="00724DB3"/>
    <w:rsid w:val="007254F1"/>
    <w:rsid w:val="00725531"/>
    <w:rsid w:val="007260A6"/>
    <w:rsid w:val="00726CD7"/>
    <w:rsid w:val="00726E64"/>
    <w:rsid w:val="007272E4"/>
    <w:rsid w:val="00727D3C"/>
    <w:rsid w:val="00727E6F"/>
    <w:rsid w:val="00727E8A"/>
    <w:rsid w:val="00727F63"/>
    <w:rsid w:val="007306B3"/>
    <w:rsid w:val="00730853"/>
    <w:rsid w:val="00731163"/>
    <w:rsid w:val="00731339"/>
    <w:rsid w:val="007321A2"/>
    <w:rsid w:val="00732AC9"/>
    <w:rsid w:val="007333BF"/>
    <w:rsid w:val="00733CDA"/>
    <w:rsid w:val="00733E41"/>
    <w:rsid w:val="00733E43"/>
    <w:rsid w:val="00734147"/>
    <w:rsid w:val="007350D5"/>
    <w:rsid w:val="00735278"/>
    <w:rsid w:val="00735B8B"/>
    <w:rsid w:val="00735D56"/>
    <w:rsid w:val="00736405"/>
    <w:rsid w:val="0073651C"/>
    <w:rsid w:val="00736BD2"/>
    <w:rsid w:val="0073726C"/>
    <w:rsid w:val="007374B3"/>
    <w:rsid w:val="00737731"/>
    <w:rsid w:val="00737B06"/>
    <w:rsid w:val="007404F6"/>
    <w:rsid w:val="00740C0A"/>
    <w:rsid w:val="00741001"/>
    <w:rsid w:val="00741190"/>
    <w:rsid w:val="007412D1"/>
    <w:rsid w:val="00741CB4"/>
    <w:rsid w:val="0074203D"/>
    <w:rsid w:val="007425FC"/>
    <w:rsid w:val="00742C9F"/>
    <w:rsid w:val="00743089"/>
    <w:rsid w:val="007431D8"/>
    <w:rsid w:val="007439A1"/>
    <w:rsid w:val="00744389"/>
    <w:rsid w:val="00744AF1"/>
    <w:rsid w:val="00744AF4"/>
    <w:rsid w:val="00744B1E"/>
    <w:rsid w:val="00744B70"/>
    <w:rsid w:val="00744BB1"/>
    <w:rsid w:val="007454D2"/>
    <w:rsid w:val="007459EF"/>
    <w:rsid w:val="00745E21"/>
    <w:rsid w:val="00746372"/>
    <w:rsid w:val="0074698C"/>
    <w:rsid w:val="00747521"/>
    <w:rsid w:val="00747552"/>
    <w:rsid w:val="007479C7"/>
    <w:rsid w:val="00747B8D"/>
    <w:rsid w:val="00747BCE"/>
    <w:rsid w:val="00747C79"/>
    <w:rsid w:val="007501EE"/>
    <w:rsid w:val="00750C63"/>
    <w:rsid w:val="00751196"/>
    <w:rsid w:val="00751512"/>
    <w:rsid w:val="0075153A"/>
    <w:rsid w:val="00751A29"/>
    <w:rsid w:val="0075215A"/>
    <w:rsid w:val="00752AB4"/>
    <w:rsid w:val="00752E6E"/>
    <w:rsid w:val="00753136"/>
    <w:rsid w:val="007538EE"/>
    <w:rsid w:val="00753F50"/>
    <w:rsid w:val="00754A55"/>
    <w:rsid w:val="00754D47"/>
    <w:rsid w:val="00755E69"/>
    <w:rsid w:val="0075629C"/>
    <w:rsid w:val="007562D1"/>
    <w:rsid w:val="0075646B"/>
    <w:rsid w:val="00756575"/>
    <w:rsid w:val="00756928"/>
    <w:rsid w:val="00756F1D"/>
    <w:rsid w:val="00757402"/>
    <w:rsid w:val="00757595"/>
    <w:rsid w:val="007576EB"/>
    <w:rsid w:val="00757756"/>
    <w:rsid w:val="00757E4A"/>
    <w:rsid w:val="00757EBF"/>
    <w:rsid w:val="00757FA0"/>
    <w:rsid w:val="00760032"/>
    <w:rsid w:val="00760337"/>
    <w:rsid w:val="00760BE7"/>
    <w:rsid w:val="00761238"/>
    <w:rsid w:val="00761DBE"/>
    <w:rsid w:val="00761F41"/>
    <w:rsid w:val="00762958"/>
    <w:rsid w:val="00762986"/>
    <w:rsid w:val="00763189"/>
    <w:rsid w:val="007632E0"/>
    <w:rsid w:val="00763450"/>
    <w:rsid w:val="00764092"/>
    <w:rsid w:val="007646E1"/>
    <w:rsid w:val="00764B88"/>
    <w:rsid w:val="0076509D"/>
    <w:rsid w:val="0076583E"/>
    <w:rsid w:val="00765F70"/>
    <w:rsid w:val="00766162"/>
    <w:rsid w:val="007668DE"/>
    <w:rsid w:val="00766A9C"/>
    <w:rsid w:val="00766C98"/>
    <w:rsid w:val="007670B6"/>
    <w:rsid w:val="00767299"/>
    <w:rsid w:val="0077009A"/>
    <w:rsid w:val="00770722"/>
    <w:rsid w:val="00770BDF"/>
    <w:rsid w:val="00770E9A"/>
    <w:rsid w:val="00770EED"/>
    <w:rsid w:val="0077298E"/>
    <w:rsid w:val="0077338D"/>
    <w:rsid w:val="00773EB5"/>
    <w:rsid w:val="00773FB9"/>
    <w:rsid w:val="00774435"/>
    <w:rsid w:val="0077492C"/>
    <w:rsid w:val="007749BC"/>
    <w:rsid w:val="00774D81"/>
    <w:rsid w:val="0077504E"/>
    <w:rsid w:val="0077535A"/>
    <w:rsid w:val="0077660A"/>
    <w:rsid w:val="00776E64"/>
    <w:rsid w:val="007779C4"/>
    <w:rsid w:val="00777D36"/>
    <w:rsid w:val="00781333"/>
    <w:rsid w:val="007813EC"/>
    <w:rsid w:val="00781673"/>
    <w:rsid w:val="00781D3D"/>
    <w:rsid w:val="00781FFD"/>
    <w:rsid w:val="007820F2"/>
    <w:rsid w:val="00782440"/>
    <w:rsid w:val="007824BA"/>
    <w:rsid w:val="007828E3"/>
    <w:rsid w:val="00783117"/>
    <w:rsid w:val="0078430E"/>
    <w:rsid w:val="00784A38"/>
    <w:rsid w:val="00784D7C"/>
    <w:rsid w:val="00784F1E"/>
    <w:rsid w:val="0078579D"/>
    <w:rsid w:val="00786671"/>
    <w:rsid w:val="00786B95"/>
    <w:rsid w:val="00786DB7"/>
    <w:rsid w:val="0078707A"/>
    <w:rsid w:val="00787855"/>
    <w:rsid w:val="0079023B"/>
    <w:rsid w:val="0079039F"/>
    <w:rsid w:val="00790B42"/>
    <w:rsid w:val="00790C37"/>
    <w:rsid w:val="0079168A"/>
    <w:rsid w:val="007926A4"/>
    <w:rsid w:val="00792A85"/>
    <w:rsid w:val="00792E0C"/>
    <w:rsid w:val="00793391"/>
    <w:rsid w:val="00793530"/>
    <w:rsid w:val="00793793"/>
    <w:rsid w:val="00793F90"/>
    <w:rsid w:val="00794011"/>
    <w:rsid w:val="0079420C"/>
    <w:rsid w:val="00794F3E"/>
    <w:rsid w:val="007955C4"/>
    <w:rsid w:val="00795A08"/>
    <w:rsid w:val="00795A81"/>
    <w:rsid w:val="007960C1"/>
    <w:rsid w:val="007964B2"/>
    <w:rsid w:val="00796746"/>
    <w:rsid w:val="007968B0"/>
    <w:rsid w:val="00796FB8"/>
    <w:rsid w:val="007973A5"/>
    <w:rsid w:val="00797799"/>
    <w:rsid w:val="007977A7"/>
    <w:rsid w:val="00797805"/>
    <w:rsid w:val="0079789B"/>
    <w:rsid w:val="00797AB5"/>
    <w:rsid w:val="007A02DA"/>
    <w:rsid w:val="007A0ACA"/>
    <w:rsid w:val="007A0B67"/>
    <w:rsid w:val="007A0BE9"/>
    <w:rsid w:val="007A10B7"/>
    <w:rsid w:val="007A1332"/>
    <w:rsid w:val="007A1427"/>
    <w:rsid w:val="007A14C2"/>
    <w:rsid w:val="007A163D"/>
    <w:rsid w:val="007A1D11"/>
    <w:rsid w:val="007A1FA1"/>
    <w:rsid w:val="007A225A"/>
    <w:rsid w:val="007A2C87"/>
    <w:rsid w:val="007A2CF2"/>
    <w:rsid w:val="007A367E"/>
    <w:rsid w:val="007A3AAE"/>
    <w:rsid w:val="007A3F57"/>
    <w:rsid w:val="007A41FB"/>
    <w:rsid w:val="007A42DA"/>
    <w:rsid w:val="007A43D3"/>
    <w:rsid w:val="007A4411"/>
    <w:rsid w:val="007A4878"/>
    <w:rsid w:val="007A4A3B"/>
    <w:rsid w:val="007A5236"/>
    <w:rsid w:val="007A5451"/>
    <w:rsid w:val="007A5460"/>
    <w:rsid w:val="007A613A"/>
    <w:rsid w:val="007A659A"/>
    <w:rsid w:val="007A67AF"/>
    <w:rsid w:val="007A6959"/>
    <w:rsid w:val="007A69AA"/>
    <w:rsid w:val="007A723A"/>
    <w:rsid w:val="007A7585"/>
    <w:rsid w:val="007A7B69"/>
    <w:rsid w:val="007B0013"/>
    <w:rsid w:val="007B0154"/>
    <w:rsid w:val="007B03AB"/>
    <w:rsid w:val="007B03D9"/>
    <w:rsid w:val="007B03EC"/>
    <w:rsid w:val="007B053A"/>
    <w:rsid w:val="007B0832"/>
    <w:rsid w:val="007B0A9D"/>
    <w:rsid w:val="007B1948"/>
    <w:rsid w:val="007B1EE6"/>
    <w:rsid w:val="007B24D5"/>
    <w:rsid w:val="007B2AE0"/>
    <w:rsid w:val="007B39BE"/>
    <w:rsid w:val="007B40E4"/>
    <w:rsid w:val="007B4592"/>
    <w:rsid w:val="007B462D"/>
    <w:rsid w:val="007B4C62"/>
    <w:rsid w:val="007B53F3"/>
    <w:rsid w:val="007B5BE6"/>
    <w:rsid w:val="007B6162"/>
    <w:rsid w:val="007B73A9"/>
    <w:rsid w:val="007B76C2"/>
    <w:rsid w:val="007C058B"/>
    <w:rsid w:val="007C075D"/>
    <w:rsid w:val="007C0C2B"/>
    <w:rsid w:val="007C14D4"/>
    <w:rsid w:val="007C194F"/>
    <w:rsid w:val="007C1BCC"/>
    <w:rsid w:val="007C1F63"/>
    <w:rsid w:val="007C20A5"/>
    <w:rsid w:val="007C23BB"/>
    <w:rsid w:val="007C309C"/>
    <w:rsid w:val="007C38BE"/>
    <w:rsid w:val="007C3C30"/>
    <w:rsid w:val="007C3C53"/>
    <w:rsid w:val="007C3FEE"/>
    <w:rsid w:val="007C58BE"/>
    <w:rsid w:val="007C5A0B"/>
    <w:rsid w:val="007C5ADD"/>
    <w:rsid w:val="007C6B14"/>
    <w:rsid w:val="007C6B9A"/>
    <w:rsid w:val="007C6E30"/>
    <w:rsid w:val="007C6FE6"/>
    <w:rsid w:val="007D00E6"/>
    <w:rsid w:val="007D0B0A"/>
    <w:rsid w:val="007D0F43"/>
    <w:rsid w:val="007D176D"/>
    <w:rsid w:val="007D1928"/>
    <w:rsid w:val="007D21DD"/>
    <w:rsid w:val="007D27C7"/>
    <w:rsid w:val="007D2AB8"/>
    <w:rsid w:val="007D2C2A"/>
    <w:rsid w:val="007D36D6"/>
    <w:rsid w:val="007D3FAB"/>
    <w:rsid w:val="007D47F6"/>
    <w:rsid w:val="007D4C5D"/>
    <w:rsid w:val="007D4CAC"/>
    <w:rsid w:val="007D4DC4"/>
    <w:rsid w:val="007D5041"/>
    <w:rsid w:val="007D5063"/>
    <w:rsid w:val="007D5C04"/>
    <w:rsid w:val="007D60DE"/>
    <w:rsid w:val="007D6BB8"/>
    <w:rsid w:val="007D6CBD"/>
    <w:rsid w:val="007D7196"/>
    <w:rsid w:val="007D7854"/>
    <w:rsid w:val="007D7C63"/>
    <w:rsid w:val="007D7FF1"/>
    <w:rsid w:val="007E07D0"/>
    <w:rsid w:val="007E10EB"/>
    <w:rsid w:val="007E120A"/>
    <w:rsid w:val="007E1297"/>
    <w:rsid w:val="007E1DF6"/>
    <w:rsid w:val="007E2025"/>
    <w:rsid w:val="007E249D"/>
    <w:rsid w:val="007E2515"/>
    <w:rsid w:val="007E2B5B"/>
    <w:rsid w:val="007E3151"/>
    <w:rsid w:val="007E3B71"/>
    <w:rsid w:val="007E3F62"/>
    <w:rsid w:val="007E4C6B"/>
    <w:rsid w:val="007E4E8B"/>
    <w:rsid w:val="007E5A00"/>
    <w:rsid w:val="007E5ED9"/>
    <w:rsid w:val="007E61A5"/>
    <w:rsid w:val="007E63B1"/>
    <w:rsid w:val="007E66BD"/>
    <w:rsid w:val="007E69BF"/>
    <w:rsid w:val="007E7173"/>
    <w:rsid w:val="007E7ED8"/>
    <w:rsid w:val="007F09E8"/>
    <w:rsid w:val="007F0B71"/>
    <w:rsid w:val="007F0D58"/>
    <w:rsid w:val="007F2106"/>
    <w:rsid w:val="007F23B8"/>
    <w:rsid w:val="007F25A2"/>
    <w:rsid w:val="007F2CFA"/>
    <w:rsid w:val="007F2FCC"/>
    <w:rsid w:val="007F36C3"/>
    <w:rsid w:val="007F390F"/>
    <w:rsid w:val="007F3954"/>
    <w:rsid w:val="007F3FC4"/>
    <w:rsid w:val="007F4133"/>
    <w:rsid w:val="007F459B"/>
    <w:rsid w:val="007F4802"/>
    <w:rsid w:val="007F4D22"/>
    <w:rsid w:val="007F51AE"/>
    <w:rsid w:val="007F5455"/>
    <w:rsid w:val="007F579E"/>
    <w:rsid w:val="007F57B3"/>
    <w:rsid w:val="007F5B1A"/>
    <w:rsid w:val="007F5D8E"/>
    <w:rsid w:val="007F67B6"/>
    <w:rsid w:val="007F7612"/>
    <w:rsid w:val="00800297"/>
    <w:rsid w:val="0080048F"/>
    <w:rsid w:val="00800633"/>
    <w:rsid w:val="00800863"/>
    <w:rsid w:val="00800A66"/>
    <w:rsid w:val="00800AC4"/>
    <w:rsid w:val="008015B5"/>
    <w:rsid w:val="0080194E"/>
    <w:rsid w:val="008024F1"/>
    <w:rsid w:val="00802971"/>
    <w:rsid w:val="00802C77"/>
    <w:rsid w:val="0080310F"/>
    <w:rsid w:val="00803433"/>
    <w:rsid w:val="00803BE8"/>
    <w:rsid w:val="008040B6"/>
    <w:rsid w:val="008046BD"/>
    <w:rsid w:val="008052CE"/>
    <w:rsid w:val="00805334"/>
    <w:rsid w:val="00805AD3"/>
    <w:rsid w:val="00805B4F"/>
    <w:rsid w:val="00805D12"/>
    <w:rsid w:val="008068AA"/>
    <w:rsid w:val="00807B0E"/>
    <w:rsid w:val="00807B1E"/>
    <w:rsid w:val="00807F0A"/>
    <w:rsid w:val="00807F42"/>
    <w:rsid w:val="00810B83"/>
    <w:rsid w:val="00810C61"/>
    <w:rsid w:val="00811227"/>
    <w:rsid w:val="0081156D"/>
    <w:rsid w:val="00811737"/>
    <w:rsid w:val="00811743"/>
    <w:rsid w:val="0081227F"/>
    <w:rsid w:val="008129A5"/>
    <w:rsid w:val="00812F05"/>
    <w:rsid w:val="008134AF"/>
    <w:rsid w:val="0081352C"/>
    <w:rsid w:val="00813F90"/>
    <w:rsid w:val="00814199"/>
    <w:rsid w:val="00814299"/>
    <w:rsid w:val="00814400"/>
    <w:rsid w:val="008148BB"/>
    <w:rsid w:val="00814B6D"/>
    <w:rsid w:val="00814CF1"/>
    <w:rsid w:val="00815135"/>
    <w:rsid w:val="00815578"/>
    <w:rsid w:val="00815AAD"/>
    <w:rsid w:val="008166E9"/>
    <w:rsid w:val="00817386"/>
    <w:rsid w:val="008173B0"/>
    <w:rsid w:val="00817811"/>
    <w:rsid w:val="00817DA0"/>
    <w:rsid w:val="00817FAE"/>
    <w:rsid w:val="008205BD"/>
    <w:rsid w:val="008205E8"/>
    <w:rsid w:val="00820E80"/>
    <w:rsid w:val="00821538"/>
    <w:rsid w:val="00821A9A"/>
    <w:rsid w:val="00822143"/>
    <w:rsid w:val="008225D7"/>
    <w:rsid w:val="008226F1"/>
    <w:rsid w:val="0082304E"/>
    <w:rsid w:val="00823148"/>
    <w:rsid w:val="008233A6"/>
    <w:rsid w:val="00824263"/>
    <w:rsid w:val="008242EE"/>
    <w:rsid w:val="008246F0"/>
    <w:rsid w:val="00824788"/>
    <w:rsid w:val="0082485F"/>
    <w:rsid w:val="0082496F"/>
    <w:rsid w:val="00824B55"/>
    <w:rsid w:val="00824B76"/>
    <w:rsid w:val="00824F8F"/>
    <w:rsid w:val="00825568"/>
    <w:rsid w:val="00825A75"/>
    <w:rsid w:val="008263E4"/>
    <w:rsid w:val="0082650B"/>
    <w:rsid w:val="00826607"/>
    <w:rsid w:val="00827224"/>
    <w:rsid w:val="00827E43"/>
    <w:rsid w:val="0083033F"/>
    <w:rsid w:val="008303A5"/>
    <w:rsid w:val="00830E15"/>
    <w:rsid w:val="008310D2"/>
    <w:rsid w:val="008314EE"/>
    <w:rsid w:val="00832110"/>
    <w:rsid w:val="00832195"/>
    <w:rsid w:val="00832426"/>
    <w:rsid w:val="00832804"/>
    <w:rsid w:val="008330F3"/>
    <w:rsid w:val="0083334F"/>
    <w:rsid w:val="0083360E"/>
    <w:rsid w:val="0083471A"/>
    <w:rsid w:val="00835691"/>
    <w:rsid w:val="00835D1B"/>
    <w:rsid w:val="00835EA2"/>
    <w:rsid w:val="008367B5"/>
    <w:rsid w:val="00836EB2"/>
    <w:rsid w:val="0083705A"/>
    <w:rsid w:val="0084022F"/>
    <w:rsid w:val="00841479"/>
    <w:rsid w:val="0084166A"/>
    <w:rsid w:val="008416BD"/>
    <w:rsid w:val="008417BD"/>
    <w:rsid w:val="008418D1"/>
    <w:rsid w:val="00841F37"/>
    <w:rsid w:val="00841F8D"/>
    <w:rsid w:val="00842AA7"/>
    <w:rsid w:val="00842C64"/>
    <w:rsid w:val="00842FD6"/>
    <w:rsid w:val="0084355E"/>
    <w:rsid w:val="00843886"/>
    <w:rsid w:val="008439E0"/>
    <w:rsid w:val="00843A56"/>
    <w:rsid w:val="0084464D"/>
    <w:rsid w:val="0084492C"/>
    <w:rsid w:val="008452C2"/>
    <w:rsid w:val="0084575F"/>
    <w:rsid w:val="00845886"/>
    <w:rsid w:val="00846404"/>
    <w:rsid w:val="0084748F"/>
    <w:rsid w:val="0084791E"/>
    <w:rsid w:val="0084794F"/>
    <w:rsid w:val="008505EF"/>
    <w:rsid w:val="008508E5"/>
    <w:rsid w:val="00850D9E"/>
    <w:rsid w:val="00850F54"/>
    <w:rsid w:val="00851434"/>
    <w:rsid w:val="00851D91"/>
    <w:rsid w:val="00852401"/>
    <w:rsid w:val="008524FA"/>
    <w:rsid w:val="00852B5B"/>
    <w:rsid w:val="00853676"/>
    <w:rsid w:val="00854448"/>
    <w:rsid w:val="00854618"/>
    <w:rsid w:val="00854B40"/>
    <w:rsid w:val="00855200"/>
    <w:rsid w:val="008562CF"/>
    <w:rsid w:val="00856FB7"/>
    <w:rsid w:val="008578A5"/>
    <w:rsid w:val="00860208"/>
    <w:rsid w:val="008609C6"/>
    <w:rsid w:val="00860BAB"/>
    <w:rsid w:val="00860CAE"/>
    <w:rsid w:val="00860EC0"/>
    <w:rsid w:val="008611F8"/>
    <w:rsid w:val="00861706"/>
    <w:rsid w:val="00862073"/>
    <w:rsid w:val="0086217D"/>
    <w:rsid w:val="0086275A"/>
    <w:rsid w:val="00862EE6"/>
    <w:rsid w:val="008630C3"/>
    <w:rsid w:val="0086329C"/>
    <w:rsid w:val="0086336A"/>
    <w:rsid w:val="0086361E"/>
    <w:rsid w:val="008639AB"/>
    <w:rsid w:val="00863BC4"/>
    <w:rsid w:val="00864444"/>
    <w:rsid w:val="00866747"/>
    <w:rsid w:val="008668BC"/>
    <w:rsid w:val="00866FA2"/>
    <w:rsid w:val="00867596"/>
    <w:rsid w:val="00870542"/>
    <w:rsid w:val="0087087C"/>
    <w:rsid w:val="00870A0F"/>
    <w:rsid w:val="00871BEE"/>
    <w:rsid w:val="00872674"/>
    <w:rsid w:val="00872B7B"/>
    <w:rsid w:val="00872CB3"/>
    <w:rsid w:val="00873538"/>
    <w:rsid w:val="00873982"/>
    <w:rsid w:val="00873A5F"/>
    <w:rsid w:val="0087457B"/>
    <w:rsid w:val="00874AEC"/>
    <w:rsid w:val="00874C6D"/>
    <w:rsid w:val="00875044"/>
    <w:rsid w:val="00875854"/>
    <w:rsid w:val="00875927"/>
    <w:rsid w:val="00875A2D"/>
    <w:rsid w:val="00876104"/>
    <w:rsid w:val="00876670"/>
    <w:rsid w:val="00877428"/>
    <w:rsid w:val="00877B11"/>
    <w:rsid w:val="00877B88"/>
    <w:rsid w:val="00877C18"/>
    <w:rsid w:val="00877D36"/>
    <w:rsid w:val="008807B9"/>
    <w:rsid w:val="008808C8"/>
    <w:rsid w:val="00880E0E"/>
    <w:rsid w:val="00881A0C"/>
    <w:rsid w:val="00881B0B"/>
    <w:rsid w:val="00881FA5"/>
    <w:rsid w:val="00882FEC"/>
    <w:rsid w:val="00883F86"/>
    <w:rsid w:val="00884C8D"/>
    <w:rsid w:val="008852B6"/>
    <w:rsid w:val="00885B24"/>
    <w:rsid w:val="00886A37"/>
    <w:rsid w:val="00886AB3"/>
    <w:rsid w:val="00887FC5"/>
    <w:rsid w:val="00890023"/>
    <w:rsid w:val="008901F4"/>
    <w:rsid w:val="00890818"/>
    <w:rsid w:val="008908AE"/>
    <w:rsid w:val="00890BEB"/>
    <w:rsid w:val="00891234"/>
    <w:rsid w:val="0089178E"/>
    <w:rsid w:val="008920BB"/>
    <w:rsid w:val="00892139"/>
    <w:rsid w:val="00892EE4"/>
    <w:rsid w:val="0089301B"/>
    <w:rsid w:val="00893660"/>
    <w:rsid w:val="008937CD"/>
    <w:rsid w:val="00893B9D"/>
    <w:rsid w:val="00894694"/>
    <w:rsid w:val="00894944"/>
    <w:rsid w:val="00894FF8"/>
    <w:rsid w:val="008951C4"/>
    <w:rsid w:val="00895569"/>
    <w:rsid w:val="008957E2"/>
    <w:rsid w:val="00895A0A"/>
    <w:rsid w:val="00895B3A"/>
    <w:rsid w:val="00896188"/>
    <w:rsid w:val="008961EB"/>
    <w:rsid w:val="00896A72"/>
    <w:rsid w:val="00896C43"/>
    <w:rsid w:val="008970A1"/>
    <w:rsid w:val="00897720"/>
    <w:rsid w:val="00897E1F"/>
    <w:rsid w:val="00897FBA"/>
    <w:rsid w:val="008A00B7"/>
    <w:rsid w:val="008A02DF"/>
    <w:rsid w:val="008A0BFF"/>
    <w:rsid w:val="008A1844"/>
    <w:rsid w:val="008A197E"/>
    <w:rsid w:val="008A1B60"/>
    <w:rsid w:val="008A1CA4"/>
    <w:rsid w:val="008A1EE7"/>
    <w:rsid w:val="008A2095"/>
    <w:rsid w:val="008A21AE"/>
    <w:rsid w:val="008A22E2"/>
    <w:rsid w:val="008A281A"/>
    <w:rsid w:val="008A2BBB"/>
    <w:rsid w:val="008A2C3E"/>
    <w:rsid w:val="008A2D63"/>
    <w:rsid w:val="008A2F4B"/>
    <w:rsid w:val="008A3056"/>
    <w:rsid w:val="008A30D9"/>
    <w:rsid w:val="008A3F13"/>
    <w:rsid w:val="008A4694"/>
    <w:rsid w:val="008A49BA"/>
    <w:rsid w:val="008A4E97"/>
    <w:rsid w:val="008A4EA1"/>
    <w:rsid w:val="008A5A8D"/>
    <w:rsid w:val="008A5D4B"/>
    <w:rsid w:val="008A6270"/>
    <w:rsid w:val="008A6F2F"/>
    <w:rsid w:val="008A7454"/>
    <w:rsid w:val="008A7A93"/>
    <w:rsid w:val="008B012B"/>
    <w:rsid w:val="008B0219"/>
    <w:rsid w:val="008B05C0"/>
    <w:rsid w:val="008B0724"/>
    <w:rsid w:val="008B08DE"/>
    <w:rsid w:val="008B0DDA"/>
    <w:rsid w:val="008B159F"/>
    <w:rsid w:val="008B17FA"/>
    <w:rsid w:val="008B18C6"/>
    <w:rsid w:val="008B1A4E"/>
    <w:rsid w:val="008B26D4"/>
    <w:rsid w:val="008B3520"/>
    <w:rsid w:val="008B418A"/>
    <w:rsid w:val="008B42F8"/>
    <w:rsid w:val="008B452C"/>
    <w:rsid w:val="008B4539"/>
    <w:rsid w:val="008B46A7"/>
    <w:rsid w:val="008B4D96"/>
    <w:rsid w:val="008B5007"/>
    <w:rsid w:val="008B52BF"/>
    <w:rsid w:val="008B5966"/>
    <w:rsid w:val="008B5C46"/>
    <w:rsid w:val="008B5E0A"/>
    <w:rsid w:val="008B5F5D"/>
    <w:rsid w:val="008B61D8"/>
    <w:rsid w:val="008B6496"/>
    <w:rsid w:val="008B64EF"/>
    <w:rsid w:val="008B6AA9"/>
    <w:rsid w:val="008B6BFA"/>
    <w:rsid w:val="008B7B6F"/>
    <w:rsid w:val="008B7F0C"/>
    <w:rsid w:val="008C087D"/>
    <w:rsid w:val="008C089D"/>
    <w:rsid w:val="008C1101"/>
    <w:rsid w:val="008C16F0"/>
    <w:rsid w:val="008C2AF0"/>
    <w:rsid w:val="008C2B0C"/>
    <w:rsid w:val="008C3DA6"/>
    <w:rsid w:val="008C3EC5"/>
    <w:rsid w:val="008C48DE"/>
    <w:rsid w:val="008C4A50"/>
    <w:rsid w:val="008C5347"/>
    <w:rsid w:val="008C5A0C"/>
    <w:rsid w:val="008C68E5"/>
    <w:rsid w:val="008C7377"/>
    <w:rsid w:val="008C746A"/>
    <w:rsid w:val="008C7D29"/>
    <w:rsid w:val="008D0001"/>
    <w:rsid w:val="008D0170"/>
    <w:rsid w:val="008D0D98"/>
    <w:rsid w:val="008D14FA"/>
    <w:rsid w:val="008D159E"/>
    <w:rsid w:val="008D1A52"/>
    <w:rsid w:val="008D2299"/>
    <w:rsid w:val="008D28D3"/>
    <w:rsid w:val="008D2C90"/>
    <w:rsid w:val="008D2CBB"/>
    <w:rsid w:val="008D2D15"/>
    <w:rsid w:val="008D2E1F"/>
    <w:rsid w:val="008D3117"/>
    <w:rsid w:val="008D325E"/>
    <w:rsid w:val="008D3AE7"/>
    <w:rsid w:val="008D4165"/>
    <w:rsid w:val="008D478C"/>
    <w:rsid w:val="008D4BD8"/>
    <w:rsid w:val="008D4E24"/>
    <w:rsid w:val="008D4E28"/>
    <w:rsid w:val="008D5458"/>
    <w:rsid w:val="008D56F3"/>
    <w:rsid w:val="008D5B96"/>
    <w:rsid w:val="008D602C"/>
    <w:rsid w:val="008D6502"/>
    <w:rsid w:val="008D6939"/>
    <w:rsid w:val="008D6983"/>
    <w:rsid w:val="008E025A"/>
    <w:rsid w:val="008E02E5"/>
    <w:rsid w:val="008E04C6"/>
    <w:rsid w:val="008E0C2F"/>
    <w:rsid w:val="008E0F86"/>
    <w:rsid w:val="008E100F"/>
    <w:rsid w:val="008E189D"/>
    <w:rsid w:val="008E18FF"/>
    <w:rsid w:val="008E2570"/>
    <w:rsid w:val="008E3C2A"/>
    <w:rsid w:val="008E4197"/>
    <w:rsid w:val="008E55C7"/>
    <w:rsid w:val="008E55FF"/>
    <w:rsid w:val="008E575F"/>
    <w:rsid w:val="008E57D3"/>
    <w:rsid w:val="008E5A4C"/>
    <w:rsid w:val="008E658C"/>
    <w:rsid w:val="008E68DF"/>
    <w:rsid w:val="008E6B4E"/>
    <w:rsid w:val="008E6DE7"/>
    <w:rsid w:val="008E76B0"/>
    <w:rsid w:val="008E7732"/>
    <w:rsid w:val="008E797B"/>
    <w:rsid w:val="008E7E21"/>
    <w:rsid w:val="008F1039"/>
    <w:rsid w:val="008F1408"/>
    <w:rsid w:val="008F19D8"/>
    <w:rsid w:val="008F2333"/>
    <w:rsid w:val="008F2CB8"/>
    <w:rsid w:val="008F30E3"/>
    <w:rsid w:val="008F3532"/>
    <w:rsid w:val="008F3841"/>
    <w:rsid w:val="008F3D33"/>
    <w:rsid w:val="008F47EB"/>
    <w:rsid w:val="008F4BDA"/>
    <w:rsid w:val="008F4C16"/>
    <w:rsid w:val="008F54A8"/>
    <w:rsid w:val="008F57F7"/>
    <w:rsid w:val="008F602A"/>
    <w:rsid w:val="008F6154"/>
    <w:rsid w:val="008F6184"/>
    <w:rsid w:val="008F631E"/>
    <w:rsid w:val="008F6826"/>
    <w:rsid w:val="008F6EBB"/>
    <w:rsid w:val="008F7287"/>
    <w:rsid w:val="008F79CD"/>
    <w:rsid w:val="008F7F5B"/>
    <w:rsid w:val="009002AD"/>
    <w:rsid w:val="0090096D"/>
    <w:rsid w:val="00901044"/>
    <w:rsid w:val="00901799"/>
    <w:rsid w:val="009019A8"/>
    <w:rsid w:val="00901B6C"/>
    <w:rsid w:val="00901DE6"/>
    <w:rsid w:val="00902024"/>
    <w:rsid w:val="00902720"/>
    <w:rsid w:val="009029DE"/>
    <w:rsid w:val="009031D5"/>
    <w:rsid w:val="009035E8"/>
    <w:rsid w:val="00904373"/>
    <w:rsid w:val="00904A17"/>
    <w:rsid w:val="00904EB5"/>
    <w:rsid w:val="0090511A"/>
    <w:rsid w:val="009051A3"/>
    <w:rsid w:val="009051A4"/>
    <w:rsid w:val="0090520B"/>
    <w:rsid w:val="00906069"/>
    <w:rsid w:val="00906111"/>
    <w:rsid w:val="009071C0"/>
    <w:rsid w:val="00907C1C"/>
    <w:rsid w:val="00907CB2"/>
    <w:rsid w:val="0091050F"/>
    <w:rsid w:val="00910545"/>
    <w:rsid w:val="00910EF2"/>
    <w:rsid w:val="009113B0"/>
    <w:rsid w:val="00911CE5"/>
    <w:rsid w:val="00911FDD"/>
    <w:rsid w:val="0091289D"/>
    <w:rsid w:val="00912C3A"/>
    <w:rsid w:val="00913629"/>
    <w:rsid w:val="00914492"/>
    <w:rsid w:val="00914B84"/>
    <w:rsid w:val="00915105"/>
    <w:rsid w:val="00916806"/>
    <w:rsid w:val="00916B25"/>
    <w:rsid w:val="00916D60"/>
    <w:rsid w:val="00916EFF"/>
    <w:rsid w:val="00917732"/>
    <w:rsid w:val="0091777E"/>
    <w:rsid w:val="00917A5F"/>
    <w:rsid w:val="00917E93"/>
    <w:rsid w:val="00917EA3"/>
    <w:rsid w:val="009204DA"/>
    <w:rsid w:val="0092077F"/>
    <w:rsid w:val="00920C55"/>
    <w:rsid w:val="00921016"/>
    <w:rsid w:val="00921677"/>
    <w:rsid w:val="0092209E"/>
    <w:rsid w:val="00922DDB"/>
    <w:rsid w:val="00922FD4"/>
    <w:rsid w:val="00923444"/>
    <w:rsid w:val="00923F44"/>
    <w:rsid w:val="00923FBE"/>
    <w:rsid w:val="0092480C"/>
    <w:rsid w:val="009248C9"/>
    <w:rsid w:val="00924C5C"/>
    <w:rsid w:val="009254AA"/>
    <w:rsid w:val="00925C13"/>
    <w:rsid w:val="009268C5"/>
    <w:rsid w:val="00926CBF"/>
    <w:rsid w:val="009270CE"/>
    <w:rsid w:val="00927B68"/>
    <w:rsid w:val="009302F8"/>
    <w:rsid w:val="00930675"/>
    <w:rsid w:val="00930800"/>
    <w:rsid w:val="00931107"/>
    <w:rsid w:val="00931C0C"/>
    <w:rsid w:val="0093253E"/>
    <w:rsid w:val="0093271E"/>
    <w:rsid w:val="00932B89"/>
    <w:rsid w:val="009332D0"/>
    <w:rsid w:val="00933624"/>
    <w:rsid w:val="00933C1F"/>
    <w:rsid w:val="00933C4B"/>
    <w:rsid w:val="00934037"/>
    <w:rsid w:val="0093424B"/>
    <w:rsid w:val="00934E4A"/>
    <w:rsid w:val="0093532A"/>
    <w:rsid w:val="00935D26"/>
    <w:rsid w:val="009360FC"/>
    <w:rsid w:val="00936312"/>
    <w:rsid w:val="00936567"/>
    <w:rsid w:val="00936EB2"/>
    <w:rsid w:val="0093768A"/>
    <w:rsid w:val="00937926"/>
    <w:rsid w:val="00937A9F"/>
    <w:rsid w:val="00940006"/>
    <w:rsid w:val="00940084"/>
    <w:rsid w:val="00940703"/>
    <w:rsid w:val="009416DD"/>
    <w:rsid w:val="00941AE9"/>
    <w:rsid w:val="00941C1A"/>
    <w:rsid w:val="00941E4A"/>
    <w:rsid w:val="00943D2D"/>
    <w:rsid w:val="00943EBF"/>
    <w:rsid w:val="0094425F"/>
    <w:rsid w:val="009443B1"/>
    <w:rsid w:val="0094529E"/>
    <w:rsid w:val="00945C13"/>
    <w:rsid w:val="0094680A"/>
    <w:rsid w:val="009468F4"/>
    <w:rsid w:val="00946908"/>
    <w:rsid w:val="009474A7"/>
    <w:rsid w:val="009479CA"/>
    <w:rsid w:val="00950056"/>
    <w:rsid w:val="0095009A"/>
    <w:rsid w:val="00950141"/>
    <w:rsid w:val="0095042C"/>
    <w:rsid w:val="00950AB0"/>
    <w:rsid w:val="00951365"/>
    <w:rsid w:val="00952058"/>
    <w:rsid w:val="00952E2E"/>
    <w:rsid w:val="0095344D"/>
    <w:rsid w:val="00953469"/>
    <w:rsid w:val="00953A2D"/>
    <w:rsid w:val="00953F03"/>
    <w:rsid w:val="009544CE"/>
    <w:rsid w:val="009547E7"/>
    <w:rsid w:val="0095508C"/>
    <w:rsid w:val="00955336"/>
    <w:rsid w:val="00955451"/>
    <w:rsid w:val="009558F4"/>
    <w:rsid w:val="00955A16"/>
    <w:rsid w:val="0095624A"/>
    <w:rsid w:val="0095675A"/>
    <w:rsid w:val="00956B03"/>
    <w:rsid w:val="00956E82"/>
    <w:rsid w:val="00956FAB"/>
    <w:rsid w:val="00957287"/>
    <w:rsid w:val="009577DE"/>
    <w:rsid w:val="00957B60"/>
    <w:rsid w:val="00957E02"/>
    <w:rsid w:val="00957E47"/>
    <w:rsid w:val="00960BA4"/>
    <w:rsid w:val="009618CF"/>
    <w:rsid w:val="00961AE0"/>
    <w:rsid w:val="00961CAF"/>
    <w:rsid w:val="00962431"/>
    <w:rsid w:val="00962B3A"/>
    <w:rsid w:val="0096310A"/>
    <w:rsid w:val="00963399"/>
    <w:rsid w:val="00963EF5"/>
    <w:rsid w:val="00965352"/>
    <w:rsid w:val="009654F1"/>
    <w:rsid w:val="00965C02"/>
    <w:rsid w:val="009663C2"/>
    <w:rsid w:val="009666CB"/>
    <w:rsid w:val="00966C00"/>
    <w:rsid w:val="00966C88"/>
    <w:rsid w:val="00966E66"/>
    <w:rsid w:val="00967561"/>
    <w:rsid w:val="0097049A"/>
    <w:rsid w:val="0097129C"/>
    <w:rsid w:val="00971908"/>
    <w:rsid w:val="00971DF0"/>
    <w:rsid w:val="00972731"/>
    <w:rsid w:val="00972DEA"/>
    <w:rsid w:val="00972E81"/>
    <w:rsid w:val="00973227"/>
    <w:rsid w:val="00973D62"/>
    <w:rsid w:val="00973E66"/>
    <w:rsid w:val="00974687"/>
    <w:rsid w:val="00974B11"/>
    <w:rsid w:val="00975237"/>
    <w:rsid w:val="00975CBD"/>
    <w:rsid w:val="00975FD7"/>
    <w:rsid w:val="00976372"/>
    <w:rsid w:val="00976783"/>
    <w:rsid w:val="00976A1F"/>
    <w:rsid w:val="00976AD4"/>
    <w:rsid w:val="009774D4"/>
    <w:rsid w:val="00977584"/>
    <w:rsid w:val="0097772C"/>
    <w:rsid w:val="00977CAB"/>
    <w:rsid w:val="009800E6"/>
    <w:rsid w:val="009813F0"/>
    <w:rsid w:val="00981916"/>
    <w:rsid w:val="009819A4"/>
    <w:rsid w:val="00981C4A"/>
    <w:rsid w:val="009826E7"/>
    <w:rsid w:val="0098288E"/>
    <w:rsid w:val="00983384"/>
    <w:rsid w:val="00983566"/>
    <w:rsid w:val="0098439B"/>
    <w:rsid w:val="00984BED"/>
    <w:rsid w:val="00985BA4"/>
    <w:rsid w:val="009864A3"/>
    <w:rsid w:val="00986C8D"/>
    <w:rsid w:val="009878D4"/>
    <w:rsid w:val="00987C50"/>
    <w:rsid w:val="0099055D"/>
    <w:rsid w:val="00990977"/>
    <w:rsid w:val="00990978"/>
    <w:rsid w:val="00990E53"/>
    <w:rsid w:val="00991029"/>
    <w:rsid w:val="00991257"/>
    <w:rsid w:val="00991367"/>
    <w:rsid w:val="00991DBF"/>
    <w:rsid w:val="00991EA9"/>
    <w:rsid w:val="0099247C"/>
    <w:rsid w:val="0099255C"/>
    <w:rsid w:val="00992B8A"/>
    <w:rsid w:val="00992CBE"/>
    <w:rsid w:val="009935E2"/>
    <w:rsid w:val="009939FE"/>
    <w:rsid w:val="00993D83"/>
    <w:rsid w:val="00994AF8"/>
    <w:rsid w:val="00994E45"/>
    <w:rsid w:val="00995061"/>
    <w:rsid w:val="0099559E"/>
    <w:rsid w:val="0099588B"/>
    <w:rsid w:val="00995B21"/>
    <w:rsid w:val="00996333"/>
    <w:rsid w:val="00996401"/>
    <w:rsid w:val="00996D37"/>
    <w:rsid w:val="00996E17"/>
    <w:rsid w:val="00996E2F"/>
    <w:rsid w:val="00997359"/>
    <w:rsid w:val="00997945"/>
    <w:rsid w:val="009A0F8D"/>
    <w:rsid w:val="009A2C38"/>
    <w:rsid w:val="009A2F15"/>
    <w:rsid w:val="009A3B85"/>
    <w:rsid w:val="009A46D2"/>
    <w:rsid w:val="009A496F"/>
    <w:rsid w:val="009A4A13"/>
    <w:rsid w:val="009A4E24"/>
    <w:rsid w:val="009A504F"/>
    <w:rsid w:val="009A5BCB"/>
    <w:rsid w:val="009A6299"/>
    <w:rsid w:val="009A6581"/>
    <w:rsid w:val="009A72BA"/>
    <w:rsid w:val="009A7412"/>
    <w:rsid w:val="009A77DB"/>
    <w:rsid w:val="009A7D5C"/>
    <w:rsid w:val="009B007A"/>
    <w:rsid w:val="009B12B2"/>
    <w:rsid w:val="009B2340"/>
    <w:rsid w:val="009B272E"/>
    <w:rsid w:val="009B2B4A"/>
    <w:rsid w:val="009B2FEC"/>
    <w:rsid w:val="009B3042"/>
    <w:rsid w:val="009B3355"/>
    <w:rsid w:val="009B3A4A"/>
    <w:rsid w:val="009B3F5F"/>
    <w:rsid w:val="009B3F8C"/>
    <w:rsid w:val="009B40B2"/>
    <w:rsid w:val="009B4A60"/>
    <w:rsid w:val="009B4D49"/>
    <w:rsid w:val="009B503D"/>
    <w:rsid w:val="009B576C"/>
    <w:rsid w:val="009B5BCB"/>
    <w:rsid w:val="009B6EA4"/>
    <w:rsid w:val="009B7319"/>
    <w:rsid w:val="009B7BE2"/>
    <w:rsid w:val="009B7BFC"/>
    <w:rsid w:val="009B7F5C"/>
    <w:rsid w:val="009C01EA"/>
    <w:rsid w:val="009C09D1"/>
    <w:rsid w:val="009C0A33"/>
    <w:rsid w:val="009C0B17"/>
    <w:rsid w:val="009C11FC"/>
    <w:rsid w:val="009C234C"/>
    <w:rsid w:val="009C25E1"/>
    <w:rsid w:val="009C2894"/>
    <w:rsid w:val="009C2940"/>
    <w:rsid w:val="009C48C8"/>
    <w:rsid w:val="009C4B66"/>
    <w:rsid w:val="009C4B6F"/>
    <w:rsid w:val="009C5C5A"/>
    <w:rsid w:val="009C640B"/>
    <w:rsid w:val="009C6DBB"/>
    <w:rsid w:val="009C70A1"/>
    <w:rsid w:val="009C7426"/>
    <w:rsid w:val="009C75C2"/>
    <w:rsid w:val="009C79F7"/>
    <w:rsid w:val="009C7A20"/>
    <w:rsid w:val="009C7DE4"/>
    <w:rsid w:val="009D07E2"/>
    <w:rsid w:val="009D0A75"/>
    <w:rsid w:val="009D100C"/>
    <w:rsid w:val="009D1DA3"/>
    <w:rsid w:val="009D21F3"/>
    <w:rsid w:val="009D22B3"/>
    <w:rsid w:val="009D3A42"/>
    <w:rsid w:val="009D441A"/>
    <w:rsid w:val="009D4A74"/>
    <w:rsid w:val="009D4D3B"/>
    <w:rsid w:val="009D51C7"/>
    <w:rsid w:val="009D5601"/>
    <w:rsid w:val="009D5AA8"/>
    <w:rsid w:val="009D6875"/>
    <w:rsid w:val="009E03C7"/>
    <w:rsid w:val="009E05E8"/>
    <w:rsid w:val="009E07C8"/>
    <w:rsid w:val="009E122B"/>
    <w:rsid w:val="009E144A"/>
    <w:rsid w:val="009E1740"/>
    <w:rsid w:val="009E1990"/>
    <w:rsid w:val="009E258E"/>
    <w:rsid w:val="009E2985"/>
    <w:rsid w:val="009E2CE7"/>
    <w:rsid w:val="009E2D2E"/>
    <w:rsid w:val="009E33FE"/>
    <w:rsid w:val="009E3581"/>
    <w:rsid w:val="009E391D"/>
    <w:rsid w:val="009E3C80"/>
    <w:rsid w:val="009E3D76"/>
    <w:rsid w:val="009E411D"/>
    <w:rsid w:val="009E41FD"/>
    <w:rsid w:val="009E4474"/>
    <w:rsid w:val="009E4DEC"/>
    <w:rsid w:val="009E4E1D"/>
    <w:rsid w:val="009E527B"/>
    <w:rsid w:val="009E52ED"/>
    <w:rsid w:val="009E531A"/>
    <w:rsid w:val="009E5566"/>
    <w:rsid w:val="009E5E0C"/>
    <w:rsid w:val="009E5E48"/>
    <w:rsid w:val="009E6194"/>
    <w:rsid w:val="009E6374"/>
    <w:rsid w:val="009E6C25"/>
    <w:rsid w:val="009E6D15"/>
    <w:rsid w:val="009E6D9D"/>
    <w:rsid w:val="009E6FD9"/>
    <w:rsid w:val="009E7361"/>
    <w:rsid w:val="009E7918"/>
    <w:rsid w:val="009E79E1"/>
    <w:rsid w:val="009F186A"/>
    <w:rsid w:val="009F1AE8"/>
    <w:rsid w:val="009F2304"/>
    <w:rsid w:val="009F321A"/>
    <w:rsid w:val="009F3657"/>
    <w:rsid w:val="009F3698"/>
    <w:rsid w:val="009F3BF5"/>
    <w:rsid w:val="009F4093"/>
    <w:rsid w:val="009F4356"/>
    <w:rsid w:val="009F45B8"/>
    <w:rsid w:val="009F487D"/>
    <w:rsid w:val="009F4A7C"/>
    <w:rsid w:val="009F5650"/>
    <w:rsid w:val="009F5D3B"/>
    <w:rsid w:val="009F616C"/>
    <w:rsid w:val="009F628D"/>
    <w:rsid w:val="009F70EF"/>
    <w:rsid w:val="009F7446"/>
    <w:rsid w:val="009F7639"/>
    <w:rsid w:val="00A002E1"/>
    <w:rsid w:val="00A00C39"/>
    <w:rsid w:val="00A00E89"/>
    <w:rsid w:val="00A00F09"/>
    <w:rsid w:val="00A0139D"/>
    <w:rsid w:val="00A0186A"/>
    <w:rsid w:val="00A01875"/>
    <w:rsid w:val="00A0208B"/>
    <w:rsid w:val="00A025C4"/>
    <w:rsid w:val="00A0321D"/>
    <w:rsid w:val="00A03A3E"/>
    <w:rsid w:val="00A040B6"/>
    <w:rsid w:val="00A046FA"/>
    <w:rsid w:val="00A04CE9"/>
    <w:rsid w:val="00A05393"/>
    <w:rsid w:val="00A055BC"/>
    <w:rsid w:val="00A0586D"/>
    <w:rsid w:val="00A0613D"/>
    <w:rsid w:val="00A061E9"/>
    <w:rsid w:val="00A066E1"/>
    <w:rsid w:val="00A06CEE"/>
    <w:rsid w:val="00A074C4"/>
    <w:rsid w:val="00A07694"/>
    <w:rsid w:val="00A079E3"/>
    <w:rsid w:val="00A07F82"/>
    <w:rsid w:val="00A102ED"/>
    <w:rsid w:val="00A1064E"/>
    <w:rsid w:val="00A1155C"/>
    <w:rsid w:val="00A11D7C"/>
    <w:rsid w:val="00A11DA0"/>
    <w:rsid w:val="00A11EE4"/>
    <w:rsid w:val="00A12052"/>
    <w:rsid w:val="00A12185"/>
    <w:rsid w:val="00A122EC"/>
    <w:rsid w:val="00A12360"/>
    <w:rsid w:val="00A13DDA"/>
    <w:rsid w:val="00A14426"/>
    <w:rsid w:val="00A14A8A"/>
    <w:rsid w:val="00A14B1F"/>
    <w:rsid w:val="00A14DE7"/>
    <w:rsid w:val="00A15365"/>
    <w:rsid w:val="00A15A4F"/>
    <w:rsid w:val="00A15DF4"/>
    <w:rsid w:val="00A1636D"/>
    <w:rsid w:val="00A16B6E"/>
    <w:rsid w:val="00A16C6D"/>
    <w:rsid w:val="00A17203"/>
    <w:rsid w:val="00A17303"/>
    <w:rsid w:val="00A17A9F"/>
    <w:rsid w:val="00A205BD"/>
    <w:rsid w:val="00A20816"/>
    <w:rsid w:val="00A208C3"/>
    <w:rsid w:val="00A21473"/>
    <w:rsid w:val="00A21CE0"/>
    <w:rsid w:val="00A21EF4"/>
    <w:rsid w:val="00A21F51"/>
    <w:rsid w:val="00A22449"/>
    <w:rsid w:val="00A2292B"/>
    <w:rsid w:val="00A22C2F"/>
    <w:rsid w:val="00A236E6"/>
    <w:rsid w:val="00A23FEE"/>
    <w:rsid w:val="00A24A24"/>
    <w:rsid w:val="00A24F88"/>
    <w:rsid w:val="00A25059"/>
    <w:rsid w:val="00A250A8"/>
    <w:rsid w:val="00A26C0D"/>
    <w:rsid w:val="00A26E23"/>
    <w:rsid w:val="00A26EC9"/>
    <w:rsid w:val="00A27310"/>
    <w:rsid w:val="00A2763A"/>
    <w:rsid w:val="00A27C1C"/>
    <w:rsid w:val="00A27C40"/>
    <w:rsid w:val="00A27D5D"/>
    <w:rsid w:val="00A3080E"/>
    <w:rsid w:val="00A30C43"/>
    <w:rsid w:val="00A30D5A"/>
    <w:rsid w:val="00A30F56"/>
    <w:rsid w:val="00A31055"/>
    <w:rsid w:val="00A315B8"/>
    <w:rsid w:val="00A31D3C"/>
    <w:rsid w:val="00A32157"/>
    <w:rsid w:val="00A3224D"/>
    <w:rsid w:val="00A32306"/>
    <w:rsid w:val="00A32C36"/>
    <w:rsid w:val="00A33E80"/>
    <w:rsid w:val="00A33F02"/>
    <w:rsid w:val="00A33FDA"/>
    <w:rsid w:val="00A3408C"/>
    <w:rsid w:val="00A340DE"/>
    <w:rsid w:val="00A34127"/>
    <w:rsid w:val="00A352B7"/>
    <w:rsid w:val="00A35631"/>
    <w:rsid w:val="00A35A33"/>
    <w:rsid w:val="00A35B00"/>
    <w:rsid w:val="00A36930"/>
    <w:rsid w:val="00A37047"/>
    <w:rsid w:val="00A37278"/>
    <w:rsid w:val="00A373D4"/>
    <w:rsid w:val="00A37728"/>
    <w:rsid w:val="00A37AC9"/>
    <w:rsid w:val="00A37CFF"/>
    <w:rsid w:val="00A401DA"/>
    <w:rsid w:val="00A40C55"/>
    <w:rsid w:val="00A40FC2"/>
    <w:rsid w:val="00A41382"/>
    <w:rsid w:val="00A41698"/>
    <w:rsid w:val="00A41C21"/>
    <w:rsid w:val="00A421D1"/>
    <w:rsid w:val="00A424AD"/>
    <w:rsid w:val="00A424C6"/>
    <w:rsid w:val="00A428E5"/>
    <w:rsid w:val="00A42B08"/>
    <w:rsid w:val="00A43348"/>
    <w:rsid w:val="00A435C9"/>
    <w:rsid w:val="00A4469E"/>
    <w:rsid w:val="00A44BB5"/>
    <w:rsid w:val="00A44BDC"/>
    <w:rsid w:val="00A44E32"/>
    <w:rsid w:val="00A45A42"/>
    <w:rsid w:val="00A45AB3"/>
    <w:rsid w:val="00A466BD"/>
    <w:rsid w:val="00A5099D"/>
    <w:rsid w:val="00A50C9B"/>
    <w:rsid w:val="00A50D16"/>
    <w:rsid w:val="00A511BA"/>
    <w:rsid w:val="00A518AA"/>
    <w:rsid w:val="00A51C15"/>
    <w:rsid w:val="00A51D0A"/>
    <w:rsid w:val="00A52D88"/>
    <w:rsid w:val="00A533AA"/>
    <w:rsid w:val="00A53585"/>
    <w:rsid w:val="00A536D4"/>
    <w:rsid w:val="00A53D8D"/>
    <w:rsid w:val="00A53F7A"/>
    <w:rsid w:val="00A54080"/>
    <w:rsid w:val="00A544F1"/>
    <w:rsid w:val="00A54B9D"/>
    <w:rsid w:val="00A54FB3"/>
    <w:rsid w:val="00A55683"/>
    <w:rsid w:val="00A560BB"/>
    <w:rsid w:val="00A56385"/>
    <w:rsid w:val="00A5649A"/>
    <w:rsid w:val="00A56897"/>
    <w:rsid w:val="00A56A39"/>
    <w:rsid w:val="00A572E4"/>
    <w:rsid w:val="00A57602"/>
    <w:rsid w:val="00A57762"/>
    <w:rsid w:val="00A577D0"/>
    <w:rsid w:val="00A578AD"/>
    <w:rsid w:val="00A6039F"/>
    <w:rsid w:val="00A60615"/>
    <w:rsid w:val="00A60BF0"/>
    <w:rsid w:val="00A60C80"/>
    <w:rsid w:val="00A61148"/>
    <w:rsid w:val="00A611C6"/>
    <w:rsid w:val="00A61C1A"/>
    <w:rsid w:val="00A622AF"/>
    <w:rsid w:val="00A62460"/>
    <w:rsid w:val="00A624AE"/>
    <w:rsid w:val="00A625EC"/>
    <w:rsid w:val="00A626CB"/>
    <w:rsid w:val="00A627EA"/>
    <w:rsid w:val="00A62E11"/>
    <w:rsid w:val="00A637EE"/>
    <w:rsid w:val="00A64927"/>
    <w:rsid w:val="00A6546D"/>
    <w:rsid w:val="00A6567C"/>
    <w:rsid w:val="00A65B92"/>
    <w:rsid w:val="00A65BCB"/>
    <w:rsid w:val="00A65C2E"/>
    <w:rsid w:val="00A65DB8"/>
    <w:rsid w:val="00A65E34"/>
    <w:rsid w:val="00A65E40"/>
    <w:rsid w:val="00A660B6"/>
    <w:rsid w:val="00A668A9"/>
    <w:rsid w:val="00A66A5D"/>
    <w:rsid w:val="00A66BDC"/>
    <w:rsid w:val="00A673F2"/>
    <w:rsid w:val="00A67792"/>
    <w:rsid w:val="00A67C65"/>
    <w:rsid w:val="00A70042"/>
    <w:rsid w:val="00A701DA"/>
    <w:rsid w:val="00A706E5"/>
    <w:rsid w:val="00A71513"/>
    <w:rsid w:val="00A717A4"/>
    <w:rsid w:val="00A71EB9"/>
    <w:rsid w:val="00A722FE"/>
    <w:rsid w:val="00A73046"/>
    <w:rsid w:val="00A7323F"/>
    <w:rsid w:val="00A73619"/>
    <w:rsid w:val="00A73975"/>
    <w:rsid w:val="00A73B11"/>
    <w:rsid w:val="00A740A1"/>
    <w:rsid w:val="00A74728"/>
    <w:rsid w:val="00A74E89"/>
    <w:rsid w:val="00A751F8"/>
    <w:rsid w:val="00A7583F"/>
    <w:rsid w:val="00A75968"/>
    <w:rsid w:val="00A75B4C"/>
    <w:rsid w:val="00A75D63"/>
    <w:rsid w:val="00A76F79"/>
    <w:rsid w:val="00A76FA6"/>
    <w:rsid w:val="00A77581"/>
    <w:rsid w:val="00A77CE9"/>
    <w:rsid w:val="00A77CED"/>
    <w:rsid w:val="00A801C6"/>
    <w:rsid w:val="00A803E6"/>
    <w:rsid w:val="00A80981"/>
    <w:rsid w:val="00A80DF6"/>
    <w:rsid w:val="00A8100D"/>
    <w:rsid w:val="00A81072"/>
    <w:rsid w:val="00A811CE"/>
    <w:rsid w:val="00A813E6"/>
    <w:rsid w:val="00A82977"/>
    <w:rsid w:val="00A840B9"/>
    <w:rsid w:val="00A84819"/>
    <w:rsid w:val="00A8486B"/>
    <w:rsid w:val="00A848D3"/>
    <w:rsid w:val="00A84B9B"/>
    <w:rsid w:val="00A84FD2"/>
    <w:rsid w:val="00A85043"/>
    <w:rsid w:val="00A85243"/>
    <w:rsid w:val="00A86117"/>
    <w:rsid w:val="00A865A1"/>
    <w:rsid w:val="00A86919"/>
    <w:rsid w:val="00A86ABF"/>
    <w:rsid w:val="00A86C38"/>
    <w:rsid w:val="00A86DEF"/>
    <w:rsid w:val="00A86EAA"/>
    <w:rsid w:val="00A873BF"/>
    <w:rsid w:val="00A87E72"/>
    <w:rsid w:val="00A90451"/>
    <w:rsid w:val="00A905FA"/>
    <w:rsid w:val="00A90741"/>
    <w:rsid w:val="00A90DA7"/>
    <w:rsid w:val="00A9107C"/>
    <w:rsid w:val="00A9185E"/>
    <w:rsid w:val="00A919A8"/>
    <w:rsid w:val="00A91AE7"/>
    <w:rsid w:val="00A92145"/>
    <w:rsid w:val="00A929FF"/>
    <w:rsid w:val="00A931E8"/>
    <w:rsid w:val="00A93667"/>
    <w:rsid w:val="00A93DA0"/>
    <w:rsid w:val="00A944FC"/>
    <w:rsid w:val="00A94604"/>
    <w:rsid w:val="00A953DE"/>
    <w:rsid w:val="00A958BE"/>
    <w:rsid w:val="00A95C13"/>
    <w:rsid w:val="00A968A7"/>
    <w:rsid w:val="00A96958"/>
    <w:rsid w:val="00A96A2C"/>
    <w:rsid w:val="00A96C3F"/>
    <w:rsid w:val="00A970BF"/>
    <w:rsid w:val="00A97160"/>
    <w:rsid w:val="00A97351"/>
    <w:rsid w:val="00A97A55"/>
    <w:rsid w:val="00AA03E7"/>
    <w:rsid w:val="00AA08EB"/>
    <w:rsid w:val="00AA0D52"/>
    <w:rsid w:val="00AA11B0"/>
    <w:rsid w:val="00AA17A0"/>
    <w:rsid w:val="00AA186C"/>
    <w:rsid w:val="00AA20DD"/>
    <w:rsid w:val="00AA2C1D"/>
    <w:rsid w:val="00AA2E1D"/>
    <w:rsid w:val="00AA39A1"/>
    <w:rsid w:val="00AA417F"/>
    <w:rsid w:val="00AA49A5"/>
    <w:rsid w:val="00AA4AD3"/>
    <w:rsid w:val="00AA4B6F"/>
    <w:rsid w:val="00AA4E8F"/>
    <w:rsid w:val="00AA51C2"/>
    <w:rsid w:val="00AA58DD"/>
    <w:rsid w:val="00AA637C"/>
    <w:rsid w:val="00AA666C"/>
    <w:rsid w:val="00AA6717"/>
    <w:rsid w:val="00AA6790"/>
    <w:rsid w:val="00AA6F05"/>
    <w:rsid w:val="00AA723B"/>
    <w:rsid w:val="00AA7359"/>
    <w:rsid w:val="00AA78BC"/>
    <w:rsid w:val="00AB0871"/>
    <w:rsid w:val="00AB0EAE"/>
    <w:rsid w:val="00AB1014"/>
    <w:rsid w:val="00AB156B"/>
    <w:rsid w:val="00AB1B98"/>
    <w:rsid w:val="00AB1CAC"/>
    <w:rsid w:val="00AB217C"/>
    <w:rsid w:val="00AB223E"/>
    <w:rsid w:val="00AB23CC"/>
    <w:rsid w:val="00AB23E1"/>
    <w:rsid w:val="00AB2A5C"/>
    <w:rsid w:val="00AB324C"/>
    <w:rsid w:val="00AB33BF"/>
    <w:rsid w:val="00AB3452"/>
    <w:rsid w:val="00AB34A9"/>
    <w:rsid w:val="00AB38A5"/>
    <w:rsid w:val="00AB3AB9"/>
    <w:rsid w:val="00AB3B82"/>
    <w:rsid w:val="00AB3CE5"/>
    <w:rsid w:val="00AB3E70"/>
    <w:rsid w:val="00AB42CA"/>
    <w:rsid w:val="00AB43C2"/>
    <w:rsid w:val="00AB440E"/>
    <w:rsid w:val="00AB4E53"/>
    <w:rsid w:val="00AB65EC"/>
    <w:rsid w:val="00AB6EBC"/>
    <w:rsid w:val="00AB7371"/>
    <w:rsid w:val="00AB7AFC"/>
    <w:rsid w:val="00AB7B20"/>
    <w:rsid w:val="00AC081C"/>
    <w:rsid w:val="00AC08DC"/>
    <w:rsid w:val="00AC10D3"/>
    <w:rsid w:val="00AC1CBB"/>
    <w:rsid w:val="00AC1DBE"/>
    <w:rsid w:val="00AC1E0B"/>
    <w:rsid w:val="00AC1ED2"/>
    <w:rsid w:val="00AC1F49"/>
    <w:rsid w:val="00AC20F2"/>
    <w:rsid w:val="00AC3B48"/>
    <w:rsid w:val="00AC4606"/>
    <w:rsid w:val="00AC4750"/>
    <w:rsid w:val="00AC49CC"/>
    <w:rsid w:val="00AC4AA6"/>
    <w:rsid w:val="00AC4B13"/>
    <w:rsid w:val="00AC518C"/>
    <w:rsid w:val="00AC51D0"/>
    <w:rsid w:val="00AC54EE"/>
    <w:rsid w:val="00AC5F24"/>
    <w:rsid w:val="00AC6835"/>
    <w:rsid w:val="00AC6911"/>
    <w:rsid w:val="00AC6B65"/>
    <w:rsid w:val="00AC763A"/>
    <w:rsid w:val="00AD0AC4"/>
    <w:rsid w:val="00AD1097"/>
    <w:rsid w:val="00AD22A3"/>
    <w:rsid w:val="00AD2630"/>
    <w:rsid w:val="00AD27BC"/>
    <w:rsid w:val="00AD2A5A"/>
    <w:rsid w:val="00AD303C"/>
    <w:rsid w:val="00AD36B3"/>
    <w:rsid w:val="00AD4110"/>
    <w:rsid w:val="00AD50CD"/>
    <w:rsid w:val="00AD614F"/>
    <w:rsid w:val="00AD6361"/>
    <w:rsid w:val="00AD66A7"/>
    <w:rsid w:val="00AD6D1E"/>
    <w:rsid w:val="00AD7169"/>
    <w:rsid w:val="00AE0006"/>
    <w:rsid w:val="00AE00D9"/>
    <w:rsid w:val="00AE0FFF"/>
    <w:rsid w:val="00AE181A"/>
    <w:rsid w:val="00AE1E45"/>
    <w:rsid w:val="00AE1EB9"/>
    <w:rsid w:val="00AE2197"/>
    <w:rsid w:val="00AE2B17"/>
    <w:rsid w:val="00AE3A89"/>
    <w:rsid w:val="00AE3D9C"/>
    <w:rsid w:val="00AE4514"/>
    <w:rsid w:val="00AE51EC"/>
    <w:rsid w:val="00AE5A3E"/>
    <w:rsid w:val="00AE5C55"/>
    <w:rsid w:val="00AE5EF1"/>
    <w:rsid w:val="00AE60A0"/>
    <w:rsid w:val="00AE63D5"/>
    <w:rsid w:val="00AE6686"/>
    <w:rsid w:val="00AE66C6"/>
    <w:rsid w:val="00AE688A"/>
    <w:rsid w:val="00AE6BC4"/>
    <w:rsid w:val="00AE76D0"/>
    <w:rsid w:val="00AE7813"/>
    <w:rsid w:val="00AE7B0B"/>
    <w:rsid w:val="00AE7E83"/>
    <w:rsid w:val="00AF0081"/>
    <w:rsid w:val="00AF037D"/>
    <w:rsid w:val="00AF074D"/>
    <w:rsid w:val="00AF13AB"/>
    <w:rsid w:val="00AF1506"/>
    <w:rsid w:val="00AF1649"/>
    <w:rsid w:val="00AF1C83"/>
    <w:rsid w:val="00AF25D6"/>
    <w:rsid w:val="00AF2C5F"/>
    <w:rsid w:val="00AF427C"/>
    <w:rsid w:val="00AF5612"/>
    <w:rsid w:val="00AF5E71"/>
    <w:rsid w:val="00AF687E"/>
    <w:rsid w:val="00AF7468"/>
    <w:rsid w:val="00AF7EB9"/>
    <w:rsid w:val="00B00355"/>
    <w:rsid w:val="00B004D0"/>
    <w:rsid w:val="00B00511"/>
    <w:rsid w:val="00B008D1"/>
    <w:rsid w:val="00B01B30"/>
    <w:rsid w:val="00B020DD"/>
    <w:rsid w:val="00B028F8"/>
    <w:rsid w:val="00B02B92"/>
    <w:rsid w:val="00B02C98"/>
    <w:rsid w:val="00B03543"/>
    <w:rsid w:val="00B03655"/>
    <w:rsid w:val="00B03C3C"/>
    <w:rsid w:val="00B0466B"/>
    <w:rsid w:val="00B04E4B"/>
    <w:rsid w:val="00B05041"/>
    <w:rsid w:val="00B05591"/>
    <w:rsid w:val="00B05FA5"/>
    <w:rsid w:val="00B05FD7"/>
    <w:rsid w:val="00B06677"/>
    <w:rsid w:val="00B06E42"/>
    <w:rsid w:val="00B06EFE"/>
    <w:rsid w:val="00B07547"/>
    <w:rsid w:val="00B077D2"/>
    <w:rsid w:val="00B10CF0"/>
    <w:rsid w:val="00B10FB5"/>
    <w:rsid w:val="00B11540"/>
    <w:rsid w:val="00B11A7E"/>
    <w:rsid w:val="00B11D80"/>
    <w:rsid w:val="00B1448F"/>
    <w:rsid w:val="00B144BA"/>
    <w:rsid w:val="00B14509"/>
    <w:rsid w:val="00B15697"/>
    <w:rsid w:val="00B15C14"/>
    <w:rsid w:val="00B16077"/>
    <w:rsid w:val="00B163B5"/>
    <w:rsid w:val="00B163E8"/>
    <w:rsid w:val="00B16470"/>
    <w:rsid w:val="00B1649A"/>
    <w:rsid w:val="00B164A3"/>
    <w:rsid w:val="00B16573"/>
    <w:rsid w:val="00B166FC"/>
    <w:rsid w:val="00B16B91"/>
    <w:rsid w:val="00B16E21"/>
    <w:rsid w:val="00B16E39"/>
    <w:rsid w:val="00B16EDC"/>
    <w:rsid w:val="00B17522"/>
    <w:rsid w:val="00B17BC1"/>
    <w:rsid w:val="00B20698"/>
    <w:rsid w:val="00B20C3F"/>
    <w:rsid w:val="00B20F28"/>
    <w:rsid w:val="00B21A8B"/>
    <w:rsid w:val="00B21AAF"/>
    <w:rsid w:val="00B2222D"/>
    <w:rsid w:val="00B22622"/>
    <w:rsid w:val="00B22782"/>
    <w:rsid w:val="00B22821"/>
    <w:rsid w:val="00B2292E"/>
    <w:rsid w:val="00B22F5A"/>
    <w:rsid w:val="00B230E0"/>
    <w:rsid w:val="00B231B4"/>
    <w:rsid w:val="00B23221"/>
    <w:rsid w:val="00B25347"/>
    <w:rsid w:val="00B2556B"/>
    <w:rsid w:val="00B25E0F"/>
    <w:rsid w:val="00B2693D"/>
    <w:rsid w:val="00B26B3C"/>
    <w:rsid w:val="00B300EE"/>
    <w:rsid w:val="00B305E8"/>
    <w:rsid w:val="00B308CC"/>
    <w:rsid w:val="00B308EB"/>
    <w:rsid w:val="00B30A01"/>
    <w:rsid w:val="00B30C6D"/>
    <w:rsid w:val="00B30CB7"/>
    <w:rsid w:val="00B30E44"/>
    <w:rsid w:val="00B316D7"/>
    <w:rsid w:val="00B318AD"/>
    <w:rsid w:val="00B31BAE"/>
    <w:rsid w:val="00B31BBC"/>
    <w:rsid w:val="00B32413"/>
    <w:rsid w:val="00B32802"/>
    <w:rsid w:val="00B32D08"/>
    <w:rsid w:val="00B331BF"/>
    <w:rsid w:val="00B33265"/>
    <w:rsid w:val="00B33429"/>
    <w:rsid w:val="00B33708"/>
    <w:rsid w:val="00B33F16"/>
    <w:rsid w:val="00B33F24"/>
    <w:rsid w:val="00B33FF1"/>
    <w:rsid w:val="00B35957"/>
    <w:rsid w:val="00B35D5C"/>
    <w:rsid w:val="00B3694E"/>
    <w:rsid w:val="00B36AF0"/>
    <w:rsid w:val="00B370C5"/>
    <w:rsid w:val="00B37109"/>
    <w:rsid w:val="00B3756F"/>
    <w:rsid w:val="00B37583"/>
    <w:rsid w:val="00B377E4"/>
    <w:rsid w:val="00B40120"/>
    <w:rsid w:val="00B408D3"/>
    <w:rsid w:val="00B40C80"/>
    <w:rsid w:val="00B4169D"/>
    <w:rsid w:val="00B42014"/>
    <w:rsid w:val="00B4283B"/>
    <w:rsid w:val="00B42A88"/>
    <w:rsid w:val="00B42CB1"/>
    <w:rsid w:val="00B42FE7"/>
    <w:rsid w:val="00B434B2"/>
    <w:rsid w:val="00B43DEA"/>
    <w:rsid w:val="00B443A2"/>
    <w:rsid w:val="00B4444D"/>
    <w:rsid w:val="00B444A8"/>
    <w:rsid w:val="00B44924"/>
    <w:rsid w:val="00B449A3"/>
    <w:rsid w:val="00B44AA6"/>
    <w:rsid w:val="00B44C70"/>
    <w:rsid w:val="00B44ECD"/>
    <w:rsid w:val="00B451F1"/>
    <w:rsid w:val="00B45311"/>
    <w:rsid w:val="00B45955"/>
    <w:rsid w:val="00B45C1A"/>
    <w:rsid w:val="00B46222"/>
    <w:rsid w:val="00B46658"/>
    <w:rsid w:val="00B46FEB"/>
    <w:rsid w:val="00B472C8"/>
    <w:rsid w:val="00B47861"/>
    <w:rsid w:val="00B5062F"/>
    <w:rsid w:val="00B50747"/>
    <w:rsid w:val="00B50876"/>
    <w:rsid w:val="00B50B54"/>
    <w:rsid w:val="00B50D1B"/>
    <w:rsid w:val="00B51686"/>
    <w:rsid w:val="00B51BF0"/>
    <w:rsid w:val="00B51DF8"/>
    <w:rsid w:val="00B52F4D"/>
    <w:rsid w:val="00B532F2"/>
    <w:rsid w:val="00B53907"/>
    <w:rsid w:val="00B53AF7"/>
    <w:rsid w:val="00B53EA4"/>
    <w:rsid w:val="00B5426F"/>
    <w:rsid w:val="00B54898"/>
    <w:rsid w:val="00B54CD9"/>
    <w:rsid w:val="00B54E5E"/>
    <w:rsid w:val="00B557FD"/>
    <w:rsid w:val="00B55CB3"/>
    <w:rsid w:val="00B562AB"/>
    <w:rsid w:val="00B56401"/>
    <w:rsid w:val="00B5650E"/>
    <w:rsid w:val="00B5659B"/>
    <w:rsid w:val="00B56673"/>
    <w:rsid w:val="00B5712F"/>
    <w:rsid w:val="00B57A09"/>
    <w:rsid w:val="00B57E06"/>
    <w:rsid w:val="00B60BBC"/>
    <w:rsid w:val="00B60D65"/>
    <w:rsid w:val="00B60FC1"/>
    <w:rsid w:val="00B615CF"/>
    <w:rsid w:val="00B615F4"/>
    <w:rsid w:val="00B61C98"/>
    <w:rsid w:val="00B61DC2"/>
    <w:rsid w:val="00B628F3"/>
    <w:rsid w:val="00B632BF"/>
    <w:rsid w:val="00B64014"/>
    <w:rsid w:val="00B64235"/>
    <w:rsid w:val="00B64759"/>
    <w:rsid w:val="00B64B6A"/>
    <w:rsid w:val="00B650E5"/>
    <w:rsid w:val="00B65251"/>
    <w:rsid w:val="00B65461"/>
    <w:rsid w:val="00B656DF"/>
    <w:rsid w:val="00B657D3"/>
    <w:rsid w:val="00B6705E"/>
    <w:rsid w:val="00B67190"/>
    <w:rsid w:val="00B671BF"/>
    <w:rsid w:val="00B674F3"/>
    <w:rsid w:val="00B678BD"/>
    <w:rsid w:val="00B70070"/>
    <w:rsid w:val="00B70224"/>
    <w:rsid w:val="00B703F4"/>
    <w:rsid w:val="00B711F7"/>
    <w:rsid w:val="00B7244B"/>
    <w:rsid w:val="00B72AE3"/>
    <w:rsid w:val="00B72C58"/>
    <w:rsid w:val="00B72CF1"/>
    <w:rsid w:val="00B732E8"/>
    <w:rsid w:val="00B74050"/>
    <w:rsid w:val="00B748FF"/>
    <w:rsid w:val="00B7499F"/>
    <w:rsid w:val="00B75D73"/>
    <w:rsid w:val="00B75FC8"/>
    <w:rsid w:val="00B75FCA"/>
    <w:rsid w:val="00B764D9"/>
    <w:rsid w:val="00B765E6"/>
    <w:rsid w:val="00B7682E"/>
    <w:rsid w:val="00B7740C"/>
    <w:rsid w:val="00B77621"/>
    <w:rsid w:val="00B77A5D"/>
    <w:rsid w:val="00B77FA5"/>
    <w:rsid w:val="00B80B16"/>
    <w:rsid w:val="00B80FA4"/>
    <w:rsid w:val="00B8103C"/>
    <w:rsid w:val="00B81580"/>
    <w:rsid w:val="00B829DC"/>
    <w:rsid w:val="00B83720"/>
    <w:rsid w:val="00B83DCA"/>
    <w:rsid w:val="00B83EBD"/>
    <w:rsid w:val="00B84A4B"/>
    <w:rsid w:val="00B85D4E"/>
    <w:rsid w:val="00B85F2B"/>
    <w:rsid w:val="00B8632D"/>
    <w:rsid w:val="00B86755"/>
    <w:rsid w:val="00B86CAD"/>
    <w:rsid w:val="00B8742F"/>
    <w:rsid w:val="00B877F3"/>
    <w:rsid w:val="00B9026F"/>
    <w:rsid w:val="00B905D0"/>
    <w:rsid w:val="00B90BFB"/>
    <w:rsid w:val="00B90C32"/>
    <w:rsid w:val="00B91452"/>
    <w:rsid w:val="00B915B6"/>
    <w:rsid w:val="00B91F2E"/>
    <w:rsid w:val="00B91F7B"/>
    <w:rsid w:val="00B923DC"/>
    <w:rsid w:val="00B925CC"/>
    <w:rsid w:val="00B92D0D"/>
    <w:rsid w:val="00B93B80"/>
    <w:rsid w:val="00B93F2F"/>
    <w:rsid w:val="00B94148"/>
    <w:rsid w:val="00B9432A"/>
    <w:rsid w:val="00B949A2"/>
    <w:rsid w:val="00B95338"/>
    <w:rsid w:val="00B953E5"/>
    <w:rsid w:val="00B95689"/>
    <w:rsid w:val="00B957BF"/>
    <w:rsid w:val="00B968E5"/>
    <w:rsid w:val="00B96DFF"/>
    <w:rsid w:val="00B96E03"/>
    <w:rsid w:val="00B979FE"/>
    <w:rsid w:val="00BA030B"/>
    <w:rsid w:val="00BA0855"/>
    <w:rsid w:val="00BA0FBB"/>
    <w:rsid w:val="00BA12BA"/>
    <w:rsid w:val="00BA13E3"/>
    <w:rsid w:val="00BA1D13"/>
    <w:rsid w:val="00BA2A01"/>
    <w:rsid w:val="00BA2C87"/>
    <w:rsid w:val="00BA2CAF"/>
    <w:rsid w:val="00BA3B97"/>
    <w:rsid w:val="00BA3CCA"/>
    <w:rsid w:val="00BA3F07"/>
    <w:rsid w:val="00BA3FA5"/>
    <w:rsid w:val="00BA447E"/>
    <w:rsid w:val="00BA4F1C"/>
    <w:rsid w:val="00BA4F2E"/>
    <w:rsid w:val="00BA52BD"/>
    <w:rsid w:val="00BA58FD"/>
    <w:rsid w:val="00BA5979"/>
    <w:rsid w:val="00BA5B2C"/>
    <w:rsid w:val="00BA5C9E"/>
    <w:rsid w:val="00BA5D9C"/>
    <w:rsid w:val="00BA66C3"/>
    <w:rsid w:val="00BA671C"/>
    <w:rsid w:val="00BB0244"/>
    <w:rsid w:val="00BB0678"/>
    <w:rsid w:val="00BB0B8F"/>
    <w:rsid w:val="00BB0D8A"/>
    <w:rsid w:val="00BB0F89"/>
    <w:rsid w:val="00BB1FF4"/>
    <w:rsid w:val="00BB2448"/>
    <w:rsid w:val="00BB2738"/>
    <w:rsid w:val="00BB2E5C"/>
    <w:rsid w:val="00BB3D7D"/>
    <w:rsid w:val="00BB3FF1"/>
    <w:rsid w:val="00BB447D"/>
    <w:rsid w:val="00BB4721"/>
    <w:rsid w:val="00BB4A5A"/>
    <w:rsid w:val="00BB4F20"/>
    <w:rsid w:val="00BB50F5"/>
    <w:rsid w:val="00BB5198"/>
    <w:rsid w:val="00BB5E36"/>
    <w:rsid w:val="00BB6213"/>
    <w:rsid w:val="00BB6737"/>
    <w:rsid w:val="00BB7089"/>
    <w:rsid w:val="00BB7B98"/>
    <w:rsid w:val="00BC07D6"/>
    <w:rsid w:val="00BC0C63"/>
    <w:rsid w:val="00BC0D57"/>
    <w:rsid w:val="00BC129F"/>
    <w:rsid w:val="00BC15E0"/>
    <w:rsid w:val="00BC18D5"/>
    <w:rsid w:val="00BC1AF1"/>
    <w:rsid w:val="00BC1CB6"/>
    <w:rsid w:val="00BC2160"/>
    <w:rsid w:val="00BC2AEF"/>
    <w:rsid w:val="00BC2C6E"/>
    <w:rsid w:val="00BC3093"/>
    <w:rsid w:val="00BC34E5"/>
    <w:rsid w:val="00BC49B9"/>
    <w:rsid w:val="00BC4BCA"/>
    <w:rsid w:val="00BC4D8F"/>
    <w:rsid w:val="00BC5095"/>
    <w:rsid w:val="00BC5121"/>
    <w:rsid w:val="00BC613E"/>
    <w:rsid w:val="00BC6BF9"/>
    <w:rsid w:val="00BC6D44"/>
    <w:rsid w:val="00BC6DAC"/>
    <w:rsid w:val="00BC6E45"/>
    <w:rsid w:val="00BC6F4E"/>
    <w:rsid w:val="00BC7004"/>
    <w:rsid w:val="00BC715C"/>
    <w:rsid w:val="00BC7292"/>
    <w:rsid w:val="00BC7628"/>
    <w:rsid w:val="00BC76C1"/>
    <w:rsid w:val="00BC77E4"/>
    <w:rsid w:val="00BC7D35"/>
    <w:rsid w:val="00BC7EE4"/>
    <w:rsid w:val="00BD0013"/>
    <w:rsid w:val="00BD04A9"/>
    <w:rsid w:val="00BD077C"/>
    <w:rsid w:val="00BD0830"/>
    <w:rsid w:val="00BD13A1"/>
    <w:rsid w:val="00BD14CB"/>
    <w:rsid w:val="00BD1A05"/>
    <w:rsid w:val="00BD1A94"/>
    <w:rsid w:val="00BD1B84"/>
    <w:rsid w:val="00BD2C7A"/>
    <w:rsid w:val="00BD30AD"/>
    <w:rsid w:val="00BD33AE"/>
    <w:rsid w:val="00BD3B1F"/>
    <w:rsid w:val="00BD3D73"/>
    <w:rsid w:val="00BD3FCD"/>
    <w:rsid w:val="00BD4033"/>
    <w:rsid w:val="00BD45F4"/>
    <w:rsid w:val="00BD46F9"/>
    <w:rsid w:val="00BD4D07"/>
    <w:rsid w:val="00BD510E"/>
    <w:rsid w:val="00BD523A"/>
    <w:rsid w:val="00BD65BF"/>
    <w:rsid w:val="00BD6BFC"/>
    <w:rsid w:val="00BD70D0"/>
    <w:rsid w:val="00BD76A1"/>
    <w:rsid w:val="00BD7946"/>
    <w:rsid w:val="00BD7E35"/>
    <w:rsid w:val="00BE0411"/>
    <w:rsid w:val="00BE1993"/>
    <w:rsid w:val="00BE1B16"/>
    <w:rsid w:val="00BE1D57"/>
    <w:rsid w:val="00BE223C"/>
    <w:rsid w:val="00BE2B67"/>
    <w:rsid w:val="00BE2E0C"/>
    <w:rsid w:val="00BE3177"/>
    <w:rsid w:val="00BE3363"/>
    <w:rsid w:val="00BE3644"/>
    <w:rsid w:val="00BE3ADE"/>
    <w:rsid w:val="00BE3B37"/>
    <w:rsid w:val="00BE4DE9"/>
    <w:rsid w:val="00BE4E47"/>
    <w:rsid w:val="00BE4E6D"/>
    <w:rsid w:val="00BE55E5"/>
    <w:rsid w:val="00BE61C9"/>
    <w:rsid w:val="00BE63DD"/>
    <w:rsid w:val="00BE6957"/>
    <w:rsid w:val="00BE6B0C"/>
    <w:rsid w:val="00BE6D60"/>
    <w:rsid w:val="00BE70B6"/>
    <w:rsid w:val="00BE7D48"/>
    <w:rsid w:val="00BE7DB0"/>
    <w:rsid w:val="00BE7E14"/>
    <w:rsid w:val="00BF07E0"/>
    <w:rsid w:val="00BF09A1"/>
    <w:rsid w:val="00BF0AA2"/>
    <w:rsid w:val="00BF143A"/>
    <w:rsid w:val="00BF1809"/>
    <w:rsid w:val="00BF18B7"/>
    <w:rsid w:val="00BF27B4"/>
    <w:rsid w:val="00BF3AE4"/>
    <w:rsid w:val="00BF3EE8"/>
    <w:rsid w:val="00BF40FE"/>
    <w:rsid w:val="00BF4C6C"/>
    <w:rsid w:val="00BF4C93"/>
    <w:rsid w:val="00BF506F"/>
    <w:rsid w:val="00BF5105"/>
    <w:rsid w:val="00BF54F0"/>
    <w:rsid w:val="00BF5604"/>
    <w:rsid w:val="00BF56AC"/>
    <w:rsid w:val="00BF5754"/>
    <w:rsid w:val="00BF61B3"/>
    <w:rsid w:val="00BF6243"/>
    <w:rsid w:val="00BF6761"/>
    <w:rsid w:val="00BF7176"/>
    <w:rsid w:val="00BF79AE"/>
    <w:rsid w:val="00C0053E"/>
    <w:rsid w:val="00C00F71"/>
    <w:rsid w:val="00C01176"/>
    <w:rsid w:val="00C012DA"/>
    <w:rsid w:val="00C016CD"/>
    <w:rsid w:val="00C01BE3"/>
    <w:rsid w:val="00C0288A"/>
    <w:rsid w:val="00C02DE4"/>
    <w:rsid w:val="00C03004"/>
    <w:rsid w:val="00C03C6B"/>
    <w:rsid w:val="00C0423A"/>
    <w:rsid w:val="00C04535"/>
    <w:rsid w:val="00C04732"/>
    <w:rsid w:val="00C04886"/>
    <w:rsid w:val="00C049D3"/>
    <w:rsid w:val="00C04C80"/>
    <w:rsid w:val="00C0506E"/>
    <w:rsid w:val="00C057E6"/>
    <w:rsid w:val="00C058AB"/>
    <w:rsid w:val="00C058E7"/>
    <w:rsid w:val="00C05EFD"/>
    <w:rsid w:val="00C0646C"/>
    <w:rsid w:val="00C0660A"/>
    <w:rsid w:val="00C069CE"/>
    <w:rsid w:val="00C06F52"/>
    <w:rsid w:val="00C0714A"/>
    <w:rsid w:val="00C10FA0"/>
    <w:rsid w:val="00C1103C"/>
    <w:rsid w:val="00C113D7"/>
    <w:rsid w:val="00C11440"/>
    <w:rsid w:val="00C11B28"/>
    <w:rsid w:val="00C11C37"/>
    <w:rsid w:val="00C12169"/>
    <w:rsid w:val="00C12E17"/>
    <w:rsid w:val="00C13801"/>
    <w:rsid w:val="00C13922"/>
    <w:rsid w:val="00C13937"/>
    <w:rsid w:val="00C13FC9"/>
    <w:rsid w:val="00C148A4"/>
    <w:rsid w:val="00C152E2"/>
    <w:rsid w:val="00C154E9"/>
    <w:rsid w:val="00C15BFB"/>
    <w:rsid w:val="00C15F94"/>
    <w:rsid w:val="00C161B3"/>
    <w:rsid w:val="00C16304"/>
    <w:rsid w:val="00C163BD"/>
    <w:rsid w:val="00C16664"/>
    <w:rsid w:val="00C16870"/>
    <w:rsid w:val="00C1699B"/>
    <w:rsid w:val="00C1714F"/>
    <w:rsid w:val="00C17423"/>
    <w:rsid w:val="00C17546"/>
    <w:rsid w:val="00C176BE"/>
    <w:rsid w:val="00C20302"/>
    <w:rsid w:val="00C20679"/>
    <w:rsid w:val="00C216AD"/>
    <w:rsid w:val="00C21F56"/>
    <w:rsid w:val="00C220F4"/>
    <w:rsid w:val="00C22118"/>
    <w:rsid w:val="00C2238D"/>
    <w:rsid w:val="00C22657"/>
    <w:rsid w:val="00C22808"/>
    <w:rsid w:val="00C2287C"/>
    <w:rsid w:val="00C228ED"/>
    <w:rsid w:val="00C22B11"/>
    <w:rsid w:val="00C22FEA"/>
    <w:rsid w:val="00C230A8"/>
    <w:rsid w:val="00C23263"/>
    <w:rsid w:val="00C23828"/>
    <w:rsid w:val="00C23DCA"/>
    <w:rsid w:val="00C248F1"/>
    <w:rsid w:val="00C25591"/>
    <w:rsid w:val="00C25E43"/>
    <w:rsid w:val="00C25EC4"/>
    <w:rsid w:val="00C2624D"/>
    <w:rsid w:val="00C2656C"/>
    <w:rsid w:val="00C26E2D"/>
    <w:rsid w:val="00C2739F"/>
    <w:rsid w:val="00C27650"/>
    <w:rsid w:val="00C27709"/>
    <w:rsid w:val="00C30067"/>
    <w:rsid w:val="00C300C9"/>
    <w:rsid w:val="00C301D9"/>
    <w:rsid w:val="00C30221"/>
    <w:rsid w:val="00C3059D"/>
    <w:rsid w:val="00C30718"/>
    <w:rsid w:val="00C30DDC"/>
    <w:rsid w:val="00C31B9F"/>
    <w:rsid w:val="00C328DD"/>
    <w:rsid w:val="00C32BC0"/>
    <w:rsid w:val="00C33233"/>
    <w:rsid w:val="00C3329C"/>
    <w:rsid w:val="00C3368B"/>
    <w:rsid w:val="00C357FD"/>
    <w:rsid w:val="00C3581D"/>
    <w:rsid w:val="00C35C27"/>
    <w:rsid w:val="00C35F60"/>
    <w:rsid w:val="00C36690"/>
    <w:rsid w:val="00C368C5"/>
    <w:rsid w:val="00C37780"/>
    <w:rsid w:val="00C37A02"/>
    <w:rsid w:val="00C401F3"/>
    <w:rsid w:val="00C4058D"/>
    <w:rsid w:val="00C4154A"/>
    <w:rsid w:val="00C41836"/>
    <w:rsid w:val="00C41C38"/>
    <w:rsid w:val="00C427FA"/>
    <w:rsid w:val="00C42DC9"/>
    <w:rsid w:val="00C42F0D"/>
    <w:rsid w:val="00C43455"/>
    <w:rsid w:val="00C435C5"/>
    <w:rsid w:val="00C4372E"/>
    <w:rsid w:val="00C43B21"/>
    <w:rsid w:val="00C43EA3"/>
    <w:rsid w:val="00C446A7"/>
    <w:rsid w:val="00C44784"/>
    <w:rsid w:val="00C44B8C"/>
    <w:rsid w:val="00C44CEE"/>
    <w:rsid w:val="00C452A5"/>
    <w:rsid w:val="00C4548C"/>
    <w:rsid w:val="00C4557E"/>
    <w:rsid w:val="00C458E4"/>
    <w:rsid w:val="00C45DFF"/>
    <w:rsid w:val="00C464F4"/>
    <w:rsid w:val="00C468E0"/>
    <w:rsid w:val="00C46ACE"/>
    <w:rsid w:val="00C46B12"/>
    <w:rsid w:val="00C4785F"/>
    <w:rsid w:val="00C47A8F"/>
    <w:rsid w:val="00C500FB"/>
    <w:rsid w:val="00C503AD"/>
    <w:rsid w:val="00C50D3E"/>
    <w:rsid w:val="00C50D6A"/>
    <w:rsid w:val="00C52226"/>
    <w:rsid w:val="00C52526"/>
    <w:rsid w:val="00C52855"/>
    <w:rsid w:val="00C53B36"/>
    <w:rsid w:val="00C53C9A"/>
    <w:rsid w:val="00C53DD2"/>
    <w:rsid w:val="00C53FEF"/>
    <w:rsid w:val="00C540F7"/>
    <w:rsid w:val="00C5446B"/>
    <w:rsid w:val="00C54B2C"/>
    <w:rsid w:val="00C54F24"/>
    <w:rsid w:val="00C5515F"/>
    <w:rsid w:val="00C554AE"/>
    <w:rsid w:val="00C555C6"/>
    <w:rsid w:val="00C56BB3"/>
    <w:rsid w:val="00C56CDF"/>
    <w:rsid w:val="00C56E6D"/>
    <w:rsid w:val="00C576EB"/>
    <w:rsid w:val="00C57743"/>
    <w:rsid w:val="00C6028C"/>
    <w:rsid w:val="00C6034D"/>
    <w:rsid w:val="00C6092C"/>
    <w:rsid w:val="00C613BB"/>
    <w:rsid w:val="00C6166F"/>
    <w:rsid w:val="00C61AD6"/>
    <w:rsid w:val="00C61D32"/>
    <w:rsid w:val="00C62109"/>
    <w:rsid w:val="00C627FB"/>
    <w:rsid w:val="00C62E03"/>
    <w:rsid w:val="00C63002"/>
    <w:rsid w:val="00C630D2"/>
    <w:rsid w:val="00C631ED"/>
    <w:rsid w:val="00C64C4B"/>
    <w:rsid w:val="00C656C4"/>
    <w:rsid w:val="00C66127"/>
    <w:rsid w:val="00C663D7"/>
    <w:rsid w:val="00C66530"/>
    <w:rsid w:val="00C66642"/>
    <w:rsid w:val="00C6667F"/>
    <w:rsid w:val="00C66860"/>
    <w:rsid w:val="00C66B06"/>
    <w:rsid w:val="00C66F72"/>
    <w:rsid w:val="00C67119"/>
    <w:rsid w:val="00C67AEC"/>
    <w:rsid w:val="00C67D9A"/>
    <w:rsid w:val="00C70041"/>
    <w:rsid w:val="00C709E5"/>
    <w:rsid w:val="00C70B4B"/>
    <w:rsid w:val="00C70F72"/>
    <w:rsid w:val="00C7182A"/>
    <w:rsid w:val="00C71D01"/>
    <w:rsid w:val="00C71E10"/>
    <w:rsid w:val="00C72661"/>
    <w:rsid w:val="00C72E34"/>
    <w:rsid w:val="00C73A54"/>
    <w:rsid w:val="00C73C9D"/>
    <w:rsid w:val="00C73D64"/>
    <w:rsid w:val="00C74208"/>
    <w:rsid w:val="00C743BF"/>
    <w:rsid w:val="00C745C8"/>
    <w:rsid w:val="00C74CFB"/>
    <w:rsid w:val="00C75456"/>
    <w:rsid w:val="00C761D7"/>
    <w:rsid w:val="00C76791"/>
    <w:rsid w:val="00C76EC5"/>
    <w:rsid w:val="00C77850"/>
    <w:rsid w:val="00C77AF7"/>
    <w:rsid w:val="00C80563"/>
    <w:rsid w:val="00C8112D"/>
    <w:rsid w:val="00C81BEC"/>
    <w:rsid w:val="00C8254B"/>
    <w:rsid w:val="00C832AC"/>
    <w:rsid w:val="00C835A8"/>
    <w:rsid w:val="00C837DE"/>
    <w:rsid w:val="00C83901"/>
    <w:rsid w:val="00C83D63"/>
    <w:rsid w:val="00C84CAB"/>
    <w:rsid w:val="00C856CD"/>
    <w:rsid w:val="00C8581A"/>
    <w:rsid w:val="00C85C41"/>
    <w:rsid w:val="00C8643B"/>
    <w:rsid w:val="00C86618"/>
    <w:rsid w:val="00C87055"/>
    <w:rsid w:val="00C87289"/>
    <w:rsid w:val="00C87CB2"/>
    <w:rsid w:val="00C906BF"/>
    <w:rsid w:val="00C90AAB"/>
    <w:rsid w:val="00C91235"/>
    <w:rsid w:val="00C9128A"/>
    <w:rsid w:val="00C912AB"/>
    <w:rsid w:val="00C915BE"/>
    <w:rsid w:val="00C92307"/>
    <w:rsid w:val="00C92738"/>
    <w:rsid w:val="00C92C3D"/>
    <w:rsid w:val="00C92FFD"/>
    <w:rsid w:val="00C93478"/>
    <w:rsid w:val="00C93BAB"/>
    <w:rsid w:val="00C93DCF"/>
    <w:rsid w:val="00C94285"/>
    <w:rsid w:val="00C9472E"/>
    <w:rsid w:val="00C94E81"/>
    <w:rsid w:val="00C9515E"/>
    <w:rsid w:val="00C96040"/>
    <w:rsid w:val="00C9613F"/>
    <w:rsid w:val="00C96384"/>
    <w:rsid w:val="00C967A7"/>
    <w:rsid w:val="00C96CDA"/>
    <w:rsid w:val="00C97053"/>
    <w:rsid w:val="00C974A2"/>
    <w:rsid w:val="00CA1196"/>
    <w:rsid w:val="00CA1436"/>
    <w:rsid w:val="00CA14F8"/>
    <w:rsid w:val="00CA1999"/>
    <w:rsid w:val="00CA1D4E"/>
    <w:rsid w:val="00CA1DF6"/>
    <w:rsid w:val="00CA220A"/>
    <w:rsid w:val="00CA3708"/>
    <w:rsid w:val="00CA3E0A"/>
    <w:rsid w:val="00CA3E32"/>
    <w:rsid w:val="00CA4068"/>
    <w:rsid w:val="00CA4455"/>
    <w:rsid w:val="00CA4DD8"/>
    <w:rsid w:val="00CA53A6"/>
    <w:rsid w:val="00CA621B"/>
    <w:rsid w:val="00CA6EBD"/>
    <w:rsid w:val="00CB0197"/>
    <w:rsid w:val="00CB0D5F"/>
    <w:rsid w:val="00CB0E86"/>
    <w:rsid w:val="00CB1251"/>
    <w:rsid w:val="00CB12BA"/>
    <w:rsid w:val="00CB17DA"/>
    <w:rsid w:val="00CB2308"/>
    <w:rsid w:val="00CB2518"/>
    <w:rsid w:val="00CB366E"/>
    <w:rsid w:val="00CB3C76"/>
    <w:rsid w:val="00CB467C"/>
    <w:rsid w:val="00CB4F1F"/>
    <w:rsid w:val="00CB5331"/>
    <w:rsid w:val="00CB65F0"/>
    <w:rsid w:val="00CB6E33"/>
    <w:rsid w:val="00CB77A9"/>
    <w:rsid w:val="00CB7B4D"/>
    <w:rsid w:val="00CC06A8"/>
    <w:rsid w:val="00CC0EA2"/>
    <w:rsid w:val="00CC12B1"/>
    <w:rsid w:val="00CC18F0"/>
    <w:rsid w:val="00CC1C14"/>
    <w:rsid w:val="00CC1F77"/>
    <w:rsid w:val="00CC244A"/>
    <w:rsid w:val="00CC2D21"/>
    <w:rsid w:val="00CC34F4"/>
    <w:rsid w:val="00CC38CD"/>
    <w:rsid w:val="00CC41D3"/>
    <w:rsid w:val="00CC435D"/>
    <w:rsid w:val="00CC4649"/>
    <w:rsid w:val="00CC468E"/>
    <w:rsid w:val="00CC4960"/>
    <w:rsid w:val="00CC4B6A"/>
    <w:rsid w:val="00CC4C14"/>
    <w:rsid w:val="00CC4DBD"/>
    <w:rsid w:val="00CC5528"/>
    <w:rsid w:val="00CC575F"/>
    <w:rsid w:val="00CC5D2D"/>
    <w:rsid w:val="00CC6262"/>
    <w:rsid w:val="00CC6371"/>
    <w:rsid w:val="00CC64E3"/>
    <w:rsid w:val="00CC70F2"/>
    <w:rsid w:val="00CC7255"/>
    <w:rsid w:val="00CC7270"/>
    <w:rsid w:val="00CC72E0"/>
    <w:rsid w:val="00CC7F12"/>
    <w:rsid w:val="00CD097D"/>
    <w:rsid w:val="00CD0C65"/>
    <w:rsid w:val="00CD1588"/>
    <w:rsid w:val="00CD1D34"/>
    <w:rsid w:val="00CD202B"/>
    <w:rsid w:val="00CD244F"/>
    <w:rsid w:val="00CD2799"/>
    <w:rsid w:val="00CD2A67"/>
    <w:rsid w:val="00CD2DBC"/>
    <w:rsid w:val="00CD2EBF"/>
    <w:rsid w:val="00CD2EEE"/>
    <w:rsid w:val="00CD32DE"/>
    <w:rsid w:val="00CD3738"/>
    <w:rsid w:val="00CD4F5F"/>
    <w:rsid w:val="00CD5564"/>
    <w:rsid w:val="00CD5579"/>
    <w:rsid w:val="00CD58E8"/>
    <w:rsid w:val="00CD6166"/>
    <w:rsid w:val="00CD65C3"/>
    <w:rsid w:val="00CD6758"/>
    <w:rsid w:val="00CD6C96"/>
    <w:rsid w:val="00CD7545"/>
    <w:rsid w:val="00CD771C"/>
    <w:rsid w:val="00CD7B8D"/>
    <w:rsid w:val="00CD7B96"/>
    <w:rsid w:val="00CD7BD4"/>
    <w:rsid w:val="00CD7F00"/>
    <w:rsid w:val="00CE0386"/>
    <w:rsid w:val="00CE0EC1"/>
    <w:rsid w:val="00CE194F"/>
    <w:rsid w:val="00CE1977"/>
    <w:rsid w:val="00CE1A3C"/>
    <w:rsid w:val="00CE1D2D"/>
    <w:rsid w:val="00CE24B3"/>
    <w:rsid w:val="00CE266B"/>
    <w:rsid w:val="00CE34C7"/>
    <w:rsid w:val="00CE354A"/>
    <w:rsid w:val="00CE3638"/>
    <w:rsid w:val="00CE37FF"/>
    <w:rsid w:val="00CE46B5"/>
    <w:rsid w:val="00CE5583"/>
    <w:rsid w:val="00CE56CE"/>
    <w:rsid w:val="00CE5C04"/>
    <w:rsid w:val="00CE637A"/>
    <w:rsid w:val="00CE740D"/>
    <w:rsid w:val="00CE7CA9"/>
    <w:rsid w:val="00CE7EFE"/>
    <w:rsid w:val="00CF0151"/>
    <w:rsid w:val="00CF04B5"/>
    <w:rsid w:val="00CF1269"/>
    <w:rsid w:val="00CF1276"/>
    <w:rsid w:val="00CF1CA8"/>
    <w:rsid w:val="00CF1D0E"/>
    <w:rsid w:val="00CF220C"/>
    <w:rsid w:val="00CF2D1B"/>
    <w:rsid w:val="00CF31C7"/>
    <w:rsid w:val="00CF3DA3"/>
    <w:rsid w:val="00CF4122"/>
    <w:rsid w:val="00CF4498"/>
    <w:rsid w:val="00CF46F7"/>
    <w:rsid w:val="00CF4B49"/>
    <w:rsid w:val="00CF50E5"/>
    <w:rsid w:val="00CF5147"/>
    <w:rsid w:val="00CF5AF5"/>
    <w:rsid w:val="00CF5DD0"/>
    <w:rsid w:val="00CF7080"/>
    <w:rsid w:val="00CF7184"/>
    <w:rsid w:val="00CF7685"/>
    <w:rsid w:val="00CF7DC5"/>
    <w:rsid w:val="00CF7E0D"/>
    <w:rsid w:val="00CF7E1E"/>
    <w:rsid w:val="00D00543"/>
    <w:rsid w:val="00D01023"/>
    <w:rsid w:val="00D01659"/>
    <w:rsid w:val="00D016F5"/>
    <w:rsid w:val="00D0196E"/>
    <w:rsid w:val="00D01B28"/>
    <w:rsid w:val="00D01BC0"/>
    <w:rsid w:val="00D0241E"/>
    <w:rsid w:val="00D0246D"/>
    <w:rsid w:val="00D03890"/>
    <w:rsid w:val="00D03969"/>
    <w:rsid w:val="00D04034"/>
    <w:rsid w:val="00D04090"/>
    <w:rsid w:val="00D0415E"/>
    <w:rsid w:val="00D05889"/>
    <w:rsid w:val="00D079FF"/>
    <w:rsid w:val="00D07C11"/>
    <w:rsid w:val="00D100F0"/>
    <w:rsid w:val="00D10719"/>
    <w:rsid w:val="00D10775"/>
    <w:rsid w:val="00D107E0"/>
    <w:rsid w:val="00D10D9B"/>
    <w:rsid w:val="00D10F91"/>
    <w:rsid w:val="00D113BF"/>
    <w:rsid w:val="00D11DEC"/>
    <w:rsid w:val="00D126E2"/>
    <w:rsid w:val="00D12D6B"/>
    <w:rsid w:val="00D138D5"/>
    <w:rsid w:val="00D13F6F"/>
    <w:rsid w:val="00D1431D"/>
    <w:rsid w:val="00D14799"/>
    <w:rsid w:val="00D14A39"/>
    <w:rsid w:val="00D14E8C"/>
    <w:rsid w:val="00D15022"/>
    <w:rsid w:val="00D156FE"/>
    <w:rsid w:val="00D15B69"/>
    <w:rsid w:val="00D15D07"/>
    <w:rsid w:val="00D15D44"/>
    <w:rsid w:val="00D15D93"/>
    <w:rsid w:val="00D16585"/>
    <w:rsid w:val="00D17818"/>
    <w:rsid w:val="00D200DE"/>
    <w:rsid w:val="00D204D8"/>
    <w:rsid w:val="00D20FF7"/>
    <w:rsid w:val="00D21054"/>
    <w:rsid w:val="00D214DA"/>
    <w:rsid w:val="00D22BF1"/>
    <w:rsid w:val="00D22CC2"/>
    <w:rsid w:val="00D2328D"/>
    <w:rsid w:val="00D23686"/>
    <w:rsid w:val="00D23DBE"/>
    <w:rsid w:val="00D24255"/>
    <w:rsid w:val="00D245D5"/>
    <w:rsid w:val="00D24857"/>
    <w:rsid w:val="00D24CFB"/>
    <w:rsid w:val="00D24E79"/>
    <w:rsid w:val="00D25B1E"/>
    <w:rsid w:val="00D265A1"/>
    <w:rsid w:val="00D26772"/>
    <w:rsid w:val="00D26F90"/>
    <w:rsid w:val="00D271EC"/>
    <w:rsid w:val="00D273A5"/>
    <w:rsid w:val="00D2757A"/>
    <w:rsid w:val="00D276BD"/>
    <w:rsid w:val="00D27B46"/>
    <w:rsid w:val="00D302C3"/>
    <w:rsid w:val="00D30C44"/>
    <w:rsid w:val="00D30FB3"/>
    <w:rsid w:val="00D31286"/>
    <w:rsid w:val="00D317B0"/>
    <w:rsid w:val="00D31A84"/>
    <w:rsid w:val="00D31D2B"/>
    <w:rsid w:val="00D32279"/>
    <w:rsid w:val="00D322AC"/>
    <w:rsid w:val="00D3263E"/>
    <w:rsid w:val="00D328C3"/>
    <w:rsid w:val="00D329F0"/>
    <w:rsid w:val="00D333C8"/>
    <w:rsid w:val="00D33561"/>
    <w:rsid w:val="00D3369A"/>
    <w:rsid w:val="00D3407C"/>
    <w:rsid w:val="00D345DE"/>
    <w:rsid w:val="00D34FFA"/>
    <w:rsid w:val="00D351AC"/>
    <w:rsid w:val="00D35AB1"/>
    <w:rsid w:val="00D35C64"/>
    <w:rsid w:val="00D36580"/>
    <w:rsid w:val="00D36758"/>
    <w:rsid w:val="00D368B3"/>
    <w:rsid w:val="00D36C4A"/>
    <w:rsid w:val="00D3742B"/>
    <w:rsid w:val="00D409A6"/>
    <w:rsid w:val="00D40D04"/>
    <w:rsid w:val="00D40EB8"/>
    <w:rsid w:val="00D411A3"/>
    <w:rsid w:val="00D41277"/>
    <w:rsid w:val="00D412B8"/>
    <w:rsid w:val="00D414D4"/>
    <w:rsid w:val="00D417B7"/>
    <w:rsid w:val="00D42371"/>
    <w:rsid w:val="00D429CB"/>
    <w:rsid w:val="00D42A9F"/>
    <w:rsid w:val="00D431B6"/>
    <w:rsid w:val="00D431FC"/>
    <w:rsid w:val="00D43516"/>
    <w:rsid w:val="00D43D08"/>
    <w:rsid w:val="00D43FD5"/>
    <w:rsid w:val="00D44077"/>
    <w:rsid w:val="00D441BC"/>
    <w:rsid w:val="00D447EB"/>
    <w:rsid w:val="00D44BC7"/>
    <w:rsid w:val="00D450E2"/>
    <w:rsid w:val="00D454CA"/>
    <w:rsid w:val="00D45727"/>
    <w:rsid w:val="00D457E5"/>
    <w:rsid w:val="00D46292"/>
    <w:rsid w:val="00D46364"/>
    <w:rsid w:val="00D46BE8"/>
    <w:rsid w:val="00D477B1"/>
    <w:rsid w:val="00D50047"/>
    <w:rsid w:val="00D506E0"/>
    <w:rsid w:val="00D50F2E"/>
    <w:rsid w:val="00D519B1"/>
    <w:rsid w:val="00D51F8F"/>
    <w:rsid w:val="00D523FB"/>
    <w:rsid w:val="00D52496"/>
    <w:rsid w:val="00D536C1"/>
    <w:rsid w:val="00D53DCD"/>
    <w:rsid w:val="00D540EB"/>
    <w:rsid w:val="00D54C5A"/>
    <w:rsid w:val="00D552AE"/>
    <w:rsid w:val="00D559AD"/>
    <w:rsid w:val="00D56255"/>
    <w:rsid w:val="00D562FA"/>
    <w:rsid w:val="00D565A8"/>
    <w:rsid w:val="00D570C8"/>
    <w:rsid w:val="00D57D0C"/>
    <w:rsid w:val="00D605BE"/>
    <w:rsid w:val="00D60D46"/>
    <w:rsid w:val="00D6198B"/>
    <w:rsid w:val="00D61F25"/>
    <w:rsid w:val="00D6219F"/>
    <w:rsid w:val="00D6280E"/>
    <w:rsid w:val="00D62A2C"/>
    <w:rsid w:val="00D62E92"/>
    <w:rsid w:val="00D62FBC"/>
    <w:rsid w:val="00D6338C"/>
    <w:rsid w:val="00D6360F"/>
    <w:rsid w:val="00D63790"/>
    <w:rsid w:val="00D63D92"/>
    <w:rsid w:val="00D63DC3"/>
    <w:rsid w:val="00D64C84"/>
    <w:rsid w:val="00D6512A"/>
    <w:rsid w:val="00D652BD"/>
    <w:rsid w:val="00D65D68"/>
    <w:rsid w:val="00D66882"/>
    <w:rsid w:val="00D66CD7"/>
    <w:rsid w:val="00D67210"/>
    <w:rsid w:val="00D6779D"/>
    <w:rsid w:val="00D70070"/>
    <w:rsid w:val="00D70C2F"/>
    <w:rsid w:val="00D70F8E"/>
    <w:rsid w:val="00D71086"/>
    <w:rsid w:val="00D715B0"/>
    <w:rsid w:val="00D71971"/>
    <w:rsid w:val="00D72E63"/>
    <w:rsid w:val="00D74C9B"/>
    <w:rsid w:val="00D76D7C"/>
    <w:rsid w:val="00D77773"/>
    <w:rsid w:val="00D77AA1"/>
    <w:rsid w:val="00D77C5C"/>
    <w:rsid w:val="00D80153"/>
    <w:rsid w:val="00D8017A"/>
    <w:rsid w:val="00D8094D"/>
    <w:rsid w:val="00D80AF5"/>
    <w:rsid w:val="00D80CFE"/>
    <w:rsid w:val="00D81969"/>
    <w:rsid w:val="00D81CEE"/>
    <w:rsid w:val="00D81FD3"/>
    <w:rsid w:val="00D820FC"/>
    <w:rsid w:val="00D82B40"/>
    <w:rsid w:val="00D83131"/>
    <w:rsid w:val="00D83DA1"/>
    <w:rsid w:val="00D84372"/>
    <w:rsid w:val="00D851E7"/>
    <w:rsid w:val="00D85377"/>
    <w:rsid w:val="00D85777"/>
    <w:rsid w:val="00D8746A"/>
    <w:rsid w:val="00D876D5"/>
    <w:rsid w:val="00D879BD"/>
    <w:rsid w:val="00D87AE1"/>
    <w:rsid w:val="00D87E3C"/>
    <w:rsid w:val="00D90116"/>
    <w:rsid w:val="00D905CF"/>
    <w:rsid w:val="00D9083E"/>
    <w:rsid w:val="00D90898"/>
    <w:rsid w:val="00D909B7"/>
    <w:rsid w:val="00D90BCA"/>
    <w:rsid w:val="00D90E73"/>
    <w:rsid w:val="00D91392"/>
    <w:rsid w:val="00D93064"/>
    <w:rsid w:val="00D93519"/>
    <w:rsid w:val="00D93908"/>
    <w:rsid w:val="00D93B8A"/>
    <w:rsid w:val="00D94062"/>
    <w:rsid w:val="00D94312"/>
    <w:rsid w:val="00D944ED"/>
    <w:rsid w:val="00D94EA3"/>
    <w:rsid w:val="00D959E3"/>
    <w:rsid w:val="00D95CA2"/>
    <w:rsid w:val="00D95F8D"/>
    <w:rsid w:val="00D96996"/>
    <w:rsid w:val="00D97100"/>
    <w:rsid w:val="00DA0224"/>
    <w:rsid w:val="00DA0236"/>
    <w:rsid w:val="00DA0514"/>
    <w:rsid w:val="00DA16D6"/>
    <w:rsid w:val="00DA192E"/>
    <w:rsid w:val="00DA201E"/>
    <w:rsid w:val="00DA2C67"/>
    <w:rsid w:val="00DA30ED"/>
    <w:rsid w:val="00DA318D"/>
    <w:rsid w:val="00DA3471"/>
    <w:rsid w:val="00DA3BD3"/>
    <w:rsid w:val="00DA4A6A"/>
    <w:rsid w:val="00DA5471"/>
    <w:rsid w:val="00DA58E1"/>
    <w:rsid w:val="00DA5B2D"/>
    <w:rsid w:val="00DA60EF"/>
    <w:rsid w:val="00DA6DB9"/>
    <w:rsid w:val="00DA7916"/>
    <w:rsid w:val="00DA7A63"/>
    <w:rsid w:val="00DA7B50"/>
    <w:rsid w:val="00DB0686"/>
    <w:rsid w:val="00DB136B"/>
    <w:rsid w:val="00DB13F0"/>
    <w:rsid w:val="00DB1DC4"/>
    <w:rsid w:val="00DB22B8"/>
    <w:rsid w:val="00DB2FC2"/>
    <w:rsid w:val="00DB44D4"/>
    <w:rsid w:val="00DB4664"/>
    <w:rsid w:val="00DB49B6"/>
    <w:rsid w:val="00DB52D1"/>
    <w:rsid w:val="00DB56D1"/>
    <w:rsid w:val="00DB57FA"/>
    <w:rsid w:val="00DB647A"/>
    <w:rsid w:val="00DB64B8"/>
    <w:rsid w:val="00DB7282"/>
    <w:rsid w:val="00DB776F"/>
    <w:rsid w:val="00DC03A0"/>
    <w:rsid w:val="00DC0568"/>
    <w:rsid w:val="00DC0963"/>
    <w:rsid w:val="00DC12E4"/>
    <w:rsid w:val="00DC22F8"/>
    <w:rsid w:val="00DC3990"/>
    <w:rsid w:val="00DC3CB3"/>
    <w:rsid w:val="00DC4456"/>
    <w:rsid w:val="00DC477E"/>
    <w:rsid w:val="00DC500A"/>
    <w:rsid w:val="00DC53EE"/>
    <w:rsid w:val="00DC58E3"/>
    <w:rsid w:val="00DC62A8"/>
    <w:rsid w:val="00DC66E5"/>
    <w:rsid w:val="00DC68F9"/>
    <w:rsid w:val="00DC70C8"/>
    <w:rsid w:val="00DC7746"/>
    <w:rsid w:val="00DC7783"/>
    <w:rsid w:val="00DC7F63"/>
    <w:rsid w:val="00DD0413"/>
    <w:rsid w:val="00DD055A"/>
    <w:rsid w:val="00DD0604"/>
    <w:rsid w:val="00DD0EBD"/>
    <w:rsid w:val="00DD1363"/>
    <w:rsid w:val="00DD17FA"/>
    <w:rsid w:val="00DD283D"/>
    <w:rsid w:val="00DD358D"/>
    <w:rsid w:val="00DD3E5B"/>
    <w:rsid w:val="00DD45D6"/>
    <w:rsid w:val="00DD4749"/>
    <w:rsid w:val="00DD4CE1"/>
    <w:rsid w:val="00DD5746"/>
    <w:rsid w:val="00DD6762"/>
    <w:rsid w:val="00DD6C48"/>
    <w:rsid w:val="00DD6D36"/>
    <w:rsid w:val="00DD6E91"/>
    <w:rsid w:val="00DD7A46"/>
    <w:rsid w:val="00DD7A6B"/>
    <w:rsid w:val="00DD7DD0"/>
    <w:rsid w:val="00DD7E06"/>
    <w:rsid w:val="00DE0174"/>
    <w:rsid w:val="00DE08D6"/>
    <w:rsid w:val="00DE1151"/>
    <w:rsid w:val="00DE13A2"/>
    <w:rsid w:val="00DE1F15"/>
    <w:rsid w:val="00DE30A1"/>
    <w:rsid w:val="00DE33FA"/>
    <w:rsid w:val="00DE39DE"/>
    <w:rsid w:val="00DE39E2"/>
    <w:rsid w:val="00DE42E2"/>
    <w:rsid w:val="00DE4730"/>
    <w:rsid w:val="00DE4E7A"/>
    <w:rsid w:val="00DE5466"/>
    <w:rsid w:val="00DE579C"/>
    <w:rsid w:val="00DE5B6E"/>
    <w:rsid w:val="00DE658F"/>
    <w:rsid w:val="00DE6E1B"/>
    <w:rsid w:val="00DE6FF4"/>
    <w:rsid w:val="00DE7018"/>
    <w:rsid w:val="00DE76ED"/>
    <w:rsid w:val="00DE7A76"/>
    <w:rsid w:val="00DE7C20"/>
    <w:rsid w:val="00DF006C"/>
    <w:rsid w:val="00DF0607"/>
    <w:rsid w:val="00DF0DCC"/>
    <w:rsid w:val="00DF10E4"/>
    <w:rsid w:val="00DF12FD"/>
    <w:rsid w:val="00DF1339"/>
    <w:rsid w:val="00DF13CB"/>
    <w:rsid w:val="00DF13FB"/>
    <w:rsid w:val="00DF1C89"/>
    <w:rsid w:val="00DF234F"/>
    <w:rsid w:val="00DF2583"/>
    <w:rsid w:val="00DF26B1"/>
    <w:rsid w:val="00DF2CE2"/>
    <w:rsid w:val="00DF2D0D"/>
    <w:rsid w:val="00DF3365"/>
    <w:rsid w:val="00DF3762"/>
    <w:rsid w:val="00DF3841"/>
    <w:rsid w:val="00DF41B7"/>
    <w:rsid w:val="00DF4320"/>
    <w:rsid w:val="00DF4946"/>
    <w:rsid w:val="00DF49F3"/>
    <w:rsid w:val="00DF4B12"/>
    <w:rsid w:val="00DF52BB"/>
    <w:rsid w:val="00DF614E"/>
    <w:rsid w:val="00DF617A"/>
    <w:rsid w:val="00DF6915"/>
    <w:rsid w:val="00DF6BE4"/>
    <w:rsid w:val="00DF6D56"/>
    <w:rsid w:val="00DF7749"/>
    <w:rsid w:val="00DF7B26"/>
    <w:rsid w:val="00DF7CCD"/>
    <w:rsid w:val="00E00C0C"/>
    <w:rsid w:val="00E01254"/>
    <w:rsid w:val="00E0184F"/>
    <w:rsid w:val="00E01E4E"/>
    <w:rsid w:val="00E02B54"/>
    <w:rsid w:val="00E03E5D"/>
    <w:rsid w:val="00E04201"/>
    <w:rsid w:val="00E0449A"/>
    <w:rsid w:val="00E04903"/>
    <w:rsid w:val="00E04B09"/>
    <w:rsid w:val="00E04D9E"/>
    <w:rsid w:val="00E04F4D"/>
    <w:rsid w:val="00E04F8E"/>
    <w:rsid w:val="00E05AA4"/>
    <w:rsid w:val="00E05AEB"/>
    <w:rsid w:val="00E05BE5"/>
    <w:rsid w:val="00E05C93"/>
    <w:rsid w:val="00E06600"/>
    <w:rsid w:val="00E06C62"/>
    <w:rsid w:val="00E06F01"/>
    <w:rsid w:val="00E07030"/>
    <w:rsid w:val="00E071FB"/>
    <w:rsid w:val="00E10450"/>
    <w:rsid w:val="00E10624"/>
    <w:rsid w:val="00E10DAB"/>
    <w:rsid w:val="00E11275"/>
    <w:rsid w:val="00E11308"/>
    <w:rsid w:val="00E113B7"/>
    <w:rsid w:val="00E11410"/>
    <w:rsid w:val="00E126A9"/>
    <w:rsid w:val="00E12E6D"/>
    <w:rsid w:val="00E13383"/>
    <w:rsid w:val="00E13868"/>
    <w:rsid w:val="00E13DCA"/>
    <w:rsid w:val="00E144C7"/>
    <w:rsid w:val="00E14B47"/>
    <w:rsid w:val="00E15022"/>
    <w:rsid w:val="00E15317"/>
    <w:rsid w:val="00E1567E"/>
    <w:rsid w:val="00E156E5"/>
    <w:rsid w:val="00E159B3"/>
    <w:rsid w:val="00E15F16"/>
    <w:rsid w:val="00E1611E"/>
    <w:rsid w:val="00E16438"/>
    <w:rsid w:val="00E16B88"/>
    <w:rsid w:val="00E16E84"/>
    <w:rsid w:val="00E17537"/>
    <w:rsid w:val="00E17704"/>
    <w:rsid w:val="00E1775A"/>
    <w:rsid w:val="00E17BBA"/>
    <w:rsid w:val="00E2007C"/>
    <w:rsid w:val="00E2030A"/>
    <w:rsid w:val="00E20458"/>
    <w:rsid w:val="00E20693"/>
    <w:rsid w:val="00E20824"/>
    <w:rsid w:val="00E215BE"/>
    <w:rsid w:val="00E21618"/>
    <w:rsid w:val="00E21B08"/>
    <w:rsid w:val="00E232FA"/>
    <w:rsid w:val="00E23588"/>
    <w:rsid w:val="00E237C9"/>
    <w:rsid w:val="00E23986"/>
    <w:rsid w:val="00E23B3A"/>
    <w:rsid w:val="00E23DD9"/>
    <w:rsid w:val="00E23E2A"/>
    <w:rsid w:val="00E2412C"/>
    <w:rsid w:val="00E2442C"/>
    <w:rsid w:val="00E24AB0"/>
    <w:rsid w:val="00E250C7"/>
    <w:rsid w:val="00E2510B"/>
    <w:rsid w:val="00E2525E"/>
    <w:rsid w:val="00E2587B"/>
    <w:rsid w:val="00E25BAC"/>
    <w:rsid w:val="00E2655E"/>
    <w:rsid w:val="00E270D7"/>
    <w:rsid w:val="00E30189"/>
    <w:rsid w:val="00E3094F"/>
    <w:rsid w:val="00E30B5C"/>
    <w:rsid w:val="00E3133D"/>
    <w:rsid w:val="00E3167F"/>
    <w:rsid w:val="00E3223C"/>
    <w:rsid w:val="00E33AE6"/>
    <w:rsid w:val="00E3594D"/>
    <w:rsid w:val="00E359AC"/>
    <w:rsid w:val="00E35EE6"/>
    <w:rsid w:val="00E367D3"/>
    <w:rsid w:val="00E368E1"/>
    <w:rsid w:val="00E3704F"/>
    <w:rsid w:val="00E37D31"/>
    <w:rsid w:val="00E40A3F"/>
    <w:rsid w:val="00E414AB"/>
    <w:rsid w:val="00E41FD6"/>
    <w:rsid w:val="00E42001"/>
    <w:rsid w:val="00E42383"/>
    <w:rsid w:val="00E42B7D"/>
    <w:rsid w:val="00E4300B"/>
    <w:rsid w:val="00E43476"/>
    <w:rsid w:val="00E4448C"/>
    <w:rsid w:val="00E44FB8"/>
    <w:rsid w:val="00E45131"/>
    <w:rsid w:val="00E4520F"/>
    <w:rsid w:val="00E45659"/>
    <w:rsid w:val="00E45E54"/>
    <w:rsid w:val="00E46794"/>
    <w:rsid w:val="00E46D54"/>
    <w:rsid w:val="00E47364"/>
    <w:rsid w:val="00E474E8"/>
    <w:rsid w:val="00E478C1"/>
    <w:rsid w:val="00E47975"/>
    <w:rsid w:val="00E47AD4"/>
    <w:rsid w:val="00E50398"/>
    <w:rsid w:val="00E506A0"/>
    <w:rsid w:val="00E50CE7"/>
    <w:rsid w:val="00E51059"/>
    <w:rsid w:val="00E5122B"/>
    <w:rsid w:val="00E514E2"/>
    <w:rsid w:val="00E516BB"/>
    <w:rsid w:val="00E51D93"/>
    <w:rsid w:val="00E51EC3"/>
    <w:rsid w:val="00E5231E"/>
    <w:rsid w:val="00E52350"/>
    <w:rsid w:val="00E526E0"/>
    <w:rsid w:val="00E52C18"/>
    <w:rsid w:val="00E53257"/>
    <w:rsid w:val="00E53A06"/>
    <w:rsid w:val="00E54154"/>
    <w:rsid w:val="00E54318"/>
    <w:rsid w:val="00E545BC"/>
    <w:rsid w:val="00E54997"/>
    <w:rsid w:val="00E54C75"/>
    <w:rsid w:val="00E54CE5"/>
    <w:rsid w:val="00E54D93"/>
    <w:rsid w:val="00E54DFE"/>
    <w:rsid w:val="00E557EA"/>
    <w:rsid w:val="00E55EF6"/>
    <w:rsid w:val="00E566CF"/>
    <w:rsid w:val="00E56917"/>
    <w:rsid w:val="00E570D1"/>
    <w:rsid w:val="00E5714D"/>
    <w:rsid w:val="00E57E43"/>
    <w:rsid w:val="00E601C0"/>
    <w:rsid w:val="00E60F5B"/>
    <w:rsid w:val="00E61067"/>
    <w:rsid w:val="00E611CE"/>
    <w:rsid w:val="00E61750"/>
    <w:rsid w:val="00E61C2E"/>
    <w:rsid w:val="00E625CF"/>
    <w:rsid w:val="00E626A8"/>
    <w:rsid w:val="00E6294C"/>
    <w:rsid w:val="00E629B6"/>
    <w:rsid w:val="00E62B11"/>
    <w:rsid w:val="00E62C4D"/>
    <w:rsid w:val="00E6392E"/>
    <w:rsid w:val="00E6491A"/>
    <w:rsid w:val="00E64F08"/>
    <w:rsid w:val="00E6528F"/>
    <w:rsid w:val="00E656EB"/>
    <w:rsid w:val="00E65CD6"/>
    <w:rsid w:val="00E65D9F"/>
    <w:rsid w:val="00E6705B"/>
    <w:rsid w:val="00E716FE"/>
    <w:rsid w:val="00E719FD"/>
    <w:rsid w:val="00E71A82"/>
    <w:rsid w:val="00E71FE3"/>
    <w:rsid w:val="00E7223F"/>
    <w:rsid w:val="00E72286"/>
    <w:rsid w:val="00E723D7"/>
    <w:rsid w:val="00E72509"/>
    <w:rsid w:val="00E726F1"/>
    <w:rsid w:val="00E7299D"/>
    <w:rsid w:val="00E73459"/>
    <w:rsid w:val="00E738C7"/>
    <w:rsid w:val="00E74E90"/>
    <w:rsid w:val="00E74EE0"/>
    <w:rsid w:val="00E7503D"/>
    <w:rsid w:val="00E756BE"/>
    <w:rsid w:val="00E75B4E"/>
    <w:rsid w:val="00E76079"/>
    <w:rsid w:val="00E7616F"/>
    <w:rsid w:val="00E76A3C"/>
    <w:rsid w:val="00E77C13"/>
    <w:rsid w:val="00E77DED"/>
    <w:rsid w:val="00E77E34"/>
    <w:rsid w:val="00E8021F"/>
    <w:rsid w:val="00E81347"/>
    <w:rsid w:val="00E8135E"/>
    <w:rsid w:val="00E81868"/>
    <w:rsid w:val="00E81BED"/>
    <w:rsid w:val="00E81D89"/>
    <w:rsid w:val="00E81EA8"/>
    <w:rsid w:val="00E8203F"/>
    <w:rsid w:val="00E82D14"/>
    <w:rsid w:val="00E83849"/>
    <w:rsid w:val="00E839BF"/>
    <w:rsid w:val="00E843FB"/>
    <w:rsid w:val="00E847B9"/>
    <w:rsid w:val="00E84E99"/>
    <w:rsid w:val="00E857CB"/>
    <w:rsid w:val="00E85855"/>
    <w:rsid w:val="00E85C7B"/>
    <w:rsid w:val="00E862B9"/>
    <w:rsid w:val="00E86B68"/>
    <w:rsid w:val="00E87064"/>
    <w:rsid w:val="00E87235"/>
    <w:rsid w:val="00E87621"/>
    <w:rsid w:val="00E877EE"/>
    <w:rsid w:val="00E90073"/>
    <w:rsid w:val="00E90443"/>
    <w:rsid w:val="00E904DB"/>
    <w:rsid w:val="00E90860"/>
    <w:rsid w:val="00E90A4C"/>
    <w:rsid w:val="00E912D7"/>
    <w:rsid w:val="00E917A5"/>
    <w:rsid w:val="00E9197F"/>
    <w:rsid w:val="00E91CFF"/>
    <w:rsid w:val="00E929C1"/>
    <w:rsid w:val="00E92BCD"/>
    <w:rsid w:val="00E92C2A"/>
    <w:rsid w:val="00E935CA"/>
    <w:rsid w:val="00E93728"/>
    <w:rsid w:val="00E93A41"/>
    <w:rsid w:val="00E93C6C"/>
    <w:rsid w:val="00E93D89"/>
    <w:rsid w:val="00E93E81"/>
    <w:rsid w:val="00E93FC4"/>
    <w:rsid w:val="00E94BE6"/>
    <w:rsid w:val="00E950D6"/>
    <w:rsid w:val="00E952E5"/>
    <w:rsid w:val="00E95A3E"/>
    <w:rsid w:val="00E95E17"/>
    <w:rsid w:val="00E95FBD"/>
    <w:rsid w:val="00E961FD"/>
    <w:rsid w:val="00E977FE"/>
    <w:rsid w:val="00E97AB4"/>
    <w:rsid w:val="00E97D6E"/>
    <w:rsid w:val="00EA01F4"/>
    <w:rsid w:val="00EA0276"/>
    <w:rsid w:val="00EA0E5F"/>
    <w:rsid w:val="00EA0F34"/>
    <w:rsid w:val="00EA0FF0"/>
    <w:rsid w:val="00EA11C3"/>
    <w:rsid w:val="00EA1516"/>
    <w:rsid w:val="00EA1ABE"/>
    <w:rsid w:val="00EA21FB"/>
    <w:rsid w:val="00EA2442"/>
    <w:rsid w:val="00EA282F"/>
    <w:rsid w:val="00EA2E6F"/>
    <w:rsid w:val="00EA3003"/>
    <w:rsid w:val="00EA3A35"/>
    <w:rsid w:val="00EA3A43"/>
    <w:rsid w:val="00EA3ED7"/>
    <w:rsid w:val="00EA46AE"/>
    <w:rsid w:val="00EA4CC3"/>
    <w:rsid w:val="00EA4E7B"/>
    <w:rsid w:val="00EA51C7"/>
    <w:rsid w:val="00EA5986"/>
    <w:rsid w:val="00EA5E21"/>
    <w:rsid w:val="00EA6069"/>
    <w:rsid w:val="00EA61BF"/>
    <w:rsid w:val="00EA68CF"/>
    <w:rsid w:val="00EA691E"/>
    <w:rsid w:val="00EA72A8"/>
    <w:rsid w:val="00EA72E4"/>
    <w:rsid w:val="00EA7653"/>
    <w:rsid w:val="00EA7FF7"/>
    <w:rsid w:val="00EB0339"/>
    <w:rsid w:val="00EB0A7B"/>
    <w:rsid w:val="00EB0EAE"/>
    <w:rsid w:val="00EB0F83"/>
    <w:rsid w:val="00EB1212"/>
    <w:rsid w:val="00EB13B1"/>
    <w:rsid w:val="00EB2760"/>
    <w:rsid w:val="00EB29AC"/>
    <w:rsid w:val="00EB2C16"/>
    <w:rsid w:val="00EB328C"/>
    <w:rsid w:val="00EB3452"/>
    <w:rsid w:val="00EB501B"/>
    <w:rsid w:val="00EB5029"/>
    <w:rsid w:val="00EB5487"/>
    <w:rsid w:val="00EB5619"/>
    <w:rsid w:val="00EB56E1"/>
    <w:rsid w:val="00EB5757"/>
    <w:rsid w:val="00EB664E"/>
    <w:rsid w:val="00EB6652"/>
    <w:rsid w:val="00EB7930"/>
    <w:rsid w:val="00EC0018"/>
    <w:rsid w:val="00EC0C46"/>
    <w:rsid w:val="00EC116C"/>
    <w:rsid w:val="00EC129A"/>
    <w:rsid w:val="00EC14E2"/>
    <w:rsid w:val="00EC1AEA"/>
    <w:rsid w:val="00EC23D0"/>
    <w:rsid w:val="00EC269B"/>
    <w:rsid w:val="00EC33D5"/>
    <w:rsid w:val="00EC42FA"/>
    <w:rsid w:val="00EC439B"/>
    <w:rsid w:val="00EC4BD6"/>
    <w:rsid w:val="00EC4F03"/>
    <w:rsid w:val="00EC5EB8"/>
    <w:rsid w:val="00EC63BD"/>
    <w:rsid w:val="00EC6C30"/>
    <w:rsid w:val="00EC7180"/>
    <w:rsid w:val="00EC72E9"/>
    <w:rsid w:val="00EC752A"/>
    <w:rsid w:val="00EC7759"/>
    <w:rsid w:val="00EC77F3"/>
    <w:rsid w:val="00ED0139"/>
    <w:rsid w:val="00ED0391"/>
    <w:rsid w:val="00ED05C2"/>
    <w:rsid w:val="00ED0D23"/>
    <w:rsid w:val="00ED1221"/>
    <w:rsid w:val="00ED182A"/>
    <w:rsid w:val="00ED1C2C"/>
    <w:rsid w:val="00ED1E6A"/>
    <w:rsid w:val="00ED2216"/>
    <w:rsid w:val="00ED25AA"/>
    <w:rsid w:val="00ED27D3"/>
    <w:rsid w:val="00ED28C7"/>
    <w:rsid w:val="00ED2DCB"/>
    <w:rsid w:val="00ED40B1"/>
    <w:rsid w:val="00ED42F9"/>
    <w:rsid w:val="00ED44B0"/>
    <w:rsid w:val="00ED4790"/>
    <w:rsid w:val="00ED5495"/>
    <w:rsid w:val="00ED5D71"/>
    <w:rsid w:val="00ED5F20"/>
    <w:rsid w:val="00ED635D"/>
    <w:rsid w:val="00ED65CE"/>
    <w:rsid w:val="00ED6CFF"/>
    <w:rsid w:val="00ED74CA"/>
    <w:rsid w:val="00ED7514"/>
    <w:rsid w:val="00ED7534"/>
    <w:rsid w:val="00ED789F"/>
    <w:rsid w:val="00EE074C"/>
    <w:rsid w:val="00EE0CE0"/>
    <w:rsid w:val="00EE13BB"/>
    <w:rsid w:val="00EE1860"/>
    <w:rsid w:val="00EE2568"/>
    <w:rsid w:val="00EE2640"/>
    <w:rsid w:val="00EE2723"/>
    <w:rsid w:val="00EE29E0"/>
    <w:rsid w:val="00EE2A99"/>
    <w:rsid w:val="00EE2DE0"/>
    <w:rsid w:val="00EE2FF3"/>
    <w:rsid w:val="00EE387F"/>
    <w:rsid w:val="00EE4AE2"/>
    <w:rsid w:val="00EE4B37"/>
    <w:rsid w:val="00EE4C5F"/>
    <w:rsid w:val="00EE4D2C"/>
    <w:rsid w:val="00EE4D33"/>
    <w:rsid w:val="00EE524F"/>
    <w:rsid w:val="00EE588D"/>
    <w:rsid w:val="00EE617D"/>
    <w:rsid w:val="00EE6490"/>
    <w:rsid w:val="00EE6517"/>
    <w:rsid w:val="00EE6A94"/>
    <w:rsid w:val="00EE754B"/>
    <w:rsid w:val="00EE7903"/>
    <w:rsid w:val="00EF02D3"/>
    <w:rsid w:val="00EF0C91"/>
    <w:rsid w:val="00EF0D4B"/>
    <w:rsid w:val="00EF1033"/>
    <w:rsid w:val="00EF10B1"/>
    <w:rsid w:val="00EF10CA"/>
    <w:rsid w:val="00EF1EAA"/>
    <w:rsid w:val="00EF2B93"/>
    <w:rsid w:val="00EF2FAF"/>
    <w:rsid w:val="00EF3121"/>
    <w:rsid w:val="00EF31C3"/>
    <w:rsid w:val="00EF3227"/>
    <w:rsid w:val="00EF3DC7"/>
    <w:rsid w:val="00EF4257"/>
    <w:rsid w:val="00EF4790"/>
    <w:rsid w:val="00EF4F57"/>
    <w:rsid w:val="00EF5126"/>
    <w:rsid w:val="00EF54B9"/>
    <w:rsid w:val="00EF5689"/>
    <w:rsid w:val="00EF5929"/>
    <w:rsid w:val="00EF5F31"/>
    <w:rsid w:val="00EF653C"/>
    <w:rsid w:val="00EF6840"/>
    <w:rsid w:val="00EF6A46"/>
    <w:rsid w:val="00EF7347"/>
    <w:rsid w:val="00EF752D"/>
    <w:rsid w:val="00EF7AA3"/>
    <w:rsid w:val="00EF7AB0"/>
    <w:rsid w:val="00EF7D4A"/>
    <w:rsid w:val="00F0009B"/>
    <w:rsid w:val="00F002CD"/>
    <w:rsid w:val="00F004B2"/>
    <w:rsid w:val="00F0098D"/>
    <w:rsid w:val="00F01563"/>
    <w:rsid w:val="00F01758"/>
    <w:rsid w:val="00F0200B"/>
    <w:rsid w:val="00F03C4F"/>
    <w:rsid w:val="00F03E0F"/>
    <w:rsid w:val="00F0425C"/>
    <w:rsid w:val="00F04A44"/>
    <w:rsid w:val="00F050C2"/>
    <w:rsid w:val="00F05128"/>
    <w:rsid w:val="00F0522F"/>
    <w:rsid w:val="00F053A3"/>
    <w:rsid w:val="00F053D5"/>
    <w:rsid w:val="00F0552F"/>
    <w:rsid w:val="00F055A9"/>
    <w:rsid w:val="00F05769"/>
    <w:rsid w:val="00F05916"/>
    <w:rsid w:val="00F06BDE"/>
    <w:rsid w:val="00F06F19"/>
    <w:rsid w:val="00F06F92"/>
    <w:rsid w:val="00F07126"/>
    <w:rsid w:val="00F07442"/>
    <w:rsid w:val="00F0797F"/>
    <w:rsid w:val="00F1094B"/>
    <w:rsid w:val="00F10E36"/>
    <w:rsid w:val="00F1105D"/>
    <w:rsid w:val="00F111FA"/>
    <w:rsid w:val="00F123C2"/>
    <w:rsid w:val="00F12F7E"/>
    <w:rsid w:val="00F13128"/>
    <w:rsid w:val="00F134AF"/>
    <w:rsid w:val="00F13726"/>
    <w:rsid w:val="00F13F13"/>
    <w:rsid w:val="00F1412F"/>
    <w:rsid w:val="00F14557"/>
    <w:rsid w:val="00F14853"/>
    <w:rsid w:val="00F14924"/>
    <w:rsid w:val="00F14978"/>
    <w:rsid w:val="00F14CC8"/>
    <w:rsid w:val="00F156A8"/>
    <w:rsid w:val="00F15E0E"/>
    <w:rsid w:val="00F166E5"/>
    <w:rsid w:val="00F16B61"/>
    <w:rsid w:val="00F175F0"/>
    <w:rsid w:val="00F17AEF"/>
    <w:rsid w:val="00F17C07"/>
    <w:rsid w:val="00F17CAE"/>
    <w:rsid w:val="00F17DC7"/>
    <w:rsid w:val="00F17E23"/>
    <w:rsid w:val="00F17E32"/>
    <w:rsid w:val="00F202E1"/>
    <w:rsid w:val="00F2073E"/>
    <w:rsid w:val="00F20D5E"/>
    <w:rsid w:val="00F210B9"/>
    <w:rsid w:val="00F21412"/>
    <w:rsid w:val="00F21554"/>
    <w:rsid w:val="00F22AB3"/>
    <w:rsid w:val="00F22F7F"/>
    <w:rsid w:val="00F23013"/>
    <w:rsid w:val="00F23449"/>
    <w:rsid w:val="00F23941"/>
    <w:rsid w:val="00F23EBA"/>
    <w:rsid w:val="00F24058"/>
    <w:rsid w:val="00F24145"/>
    <w:rsid w:val="00F241A5"/>
    <w:rsid w:val="00F24762"/>
    <w:rsid w:val="00F2566B"/>
    <w:rsid w:val="00F25746"/>
    <w:rsid w:val="00F26662"/>
    <w:rsid w:val="00F2709A"/>
    <w:rsid w:val="00F272CD"/>
    <w:rsid w:val="00F276D7"/>
    <w:rsid w:val="00F27C56"/>
    <w:rsid w:val="00F27DB4"/>
    <w:rsid w:val="00F27EE0"/>
    <w:rsid w:val="00F27F58"/>
    <w:rsid w:val="00F302F1"/>
    <w:rsid w:val="00F30688"/>
    <w:rsid w:val="00F30B06"/>
    <w:rsid w:val="00F30CE4"/>
    <w:rsid w:val="00F31E0B"/>
    <w:rsid w:val="00F32BA8"/>
    <w:rsid w:val="00F32CC8"/>
    <w:rsid w:val="00F33014"/>
    <w:rsid w:val="00F33269"/>
    <w:rsid w:val="00F3429B"/>
    <w:rsid w:val="00F34792"/>
    <w:rsid w:val="00F34AFA"/>
    <w:rsid w:val="00F34EB5"/>
    <w:rsid w:val="00F34FDE"/>
    <w:rsid w:val="00F351D9"/>
    <w:rsid w:val="00F353B1"/>
    <w:rsid w:val="00F354E4"/>
    <w:rsid w:val="00F359F8"/>
    <w:rsid w:val="00F35E59"/>
    <w:rsid w:val="00F370BF"/>
    <w:rsid w:val="00F37117"/>
    <w:rsid w:val="00F37227"/>
    <w:rsid w:val="00F373F1"/>
    <w:rsid w:val="00F3767A"/>
    <w:rsid w:val="00F377A6"/>
    <w:rsid w:val="00F3796B"/>
    <w:rsid w:val="00F379CE"/>
    <w:rsid w:val="00F37BBA"/>
    <w:rsid w:val="00F40033"/>
    <w:rsid w:val="00F406F4"/>
    <w:rsid w:val="00F40787"/>
    <w:rsid w:val="00F40AB9"/>
    <w:rsid w:val="00F40B32"/>
    <w:rsid w:val="00F40C14"/>
    <w:rsid w:val="00F40C8A"/>
    <w:rsid w:val="00F40FB0"/>
    <w:rsid w:val="00F412FA"/>
    <w:rsid w:val="00F419B9"/>
    <w:rsid w:val="00F41E58"/>
    <w:rsid w:val="00F41EFC"/>
    <w:rsid w:val="00F4201D"/>
    <w:rsid w:val="00F424A6"/>
    <w:rsid w:val="00F43253"/>
    <w:rsid w:val="00F439BA"/>
    <w:rsid w:val="00F43E99"/>
    <w:rsid w:val="00F44D98"/>
    <w:rsid w:val="00F44E7F"/>
    <w:rsid w:val="00F45228"/>
    <w:rsid w:val="00F45E9A"/>
    <w:rsid w:val="00F46D54"/>
    <w:rsid w:val="00F47CA5"/>
    <w:rsid w:val="00F50A01"/>
    <w:rsid w:val="00F50E49"/>
    <w:rsid w:val="00F51471"/>
    <w:rsid w:val="00F51556"/>
    <w:rsid w:val="00F518F9"/>
    <w:rsid w:val="00F52460"/>
    <w:rsid w:val="00F535FA"/>
    <w:rsid w:val="00F536B9"/>
    <w:rsid w:val="00F536E4"/>
    <w:rsid w:val="00F537F5"/>
    <w:rsid w:val="00F53E43"/>
    <w:rsid w:val="00F546AA"/>
    <w:rsid w:val="00F548A5"/>
    <w:rsid w:val="00F54AFF"/>
    <w:rsid w:val="00F54BAA"/>
    <w:rsid w:val="00F5501D"/>
    <w:rsid w:val="00F55057"/>
    <w:rsid w:val="00F55388"/>
    <w:rsid w:val="00F556FB"/>
    <w:rsid w:val="00F55B74"/>
    <w:rsid w:val="00F55D2B"/>
    <w:rsid w:val="00F55D51"/>
    <w:rsid w:val="00F55FB4"/>
    <w:rsid w:val="00F55FC3"/>
    <w:rsid w:val="00F56CB7"/>
    <w:rsid w:val="00F6002A"/>
    <w:rsid w:val="00F60055"/>
    <w:rsid w:val="00F60065"/>
    <w:rsid w:val="00F60DA7"/>
    <w:rsid w:val="00F60E77"/>
    <w:rsid w:val="00F610ED"/>
    <w:rsid w:val="00F6131F"/>
    <w:rsid w:val="00F6134C"/>
    <w:rsid w:val="00F61AD7"/>
    <w:rsid w:val="00F62ABF"/>
    <w:rsid w:val="00F62B42"/>
    <w:rsid w:val="00F63A32"/>
    <w:rsid w:val="00F63C40"/>
    <w:rsid w:val="00F63CAE"/>
    <w:rsid w:val="00F63E0E"/>
    <w:rsid w:val="00F64118"/>
    <w:rsid w:val="00F646C7"/>
    <w:rsid w:val="00F64A5A"/>
    <w:rsid w:val="00F64B8F"/>
    <w:rsid w:val="00F64C7E"/>
    <w:rsid w:val="00F64E00"/>
    <w:rsid w:val="00F65C47"/>
    <w:rsid w:val="00F66586"/>
    <w:rsid w:val="00F6660D"/>
    <w:rsid w:val="00F668CC"/>
    <w:rsid w:val="00F670B1"/>
    <w:rsid w:val="00F70247"/>
    <w:rsid w:val="00F70D38"/>
    <w:rsid w:val="00F71302"/>
    <w:rsid w:val="00F71B19"/>
    <w:rsid w:val="00F72A66"/>
    <w:rsid w:val="00F73748"/>
    <w:rsid w:val="00F73A2F"/>
    <w:rsid w:val="00F73B67"/>
    <w:rsid w:val="00F73D71"/>
    <w:rsid w:val="00F73E9B"/>
    <w:rsid w:val="00F73F5D"/>
    <w:rsid w:val="00F74A45"/>
    <w:rsid w:val="00F74A84"/>
    <w:rsid w:val="00F74B63"/>
    <w:rsid w:val="00F74CB6"/>
    <w:rsid w:val="00F75257"/>
    <w:rsid w:val="00F754CF"/>
    <w:rsid w:val="00F75A17"/>
    <w:rsid w:val="00F76130"/>
    <w:rsid w:val="00F768AC"/>
    <w:rsid w:val="00F76D72"/>
    <w:rsid w:val="00F777C0"/>
    <w:rsid w:val="00F77FA9"/>
    <w:rsid w:val="00F8035D"/>
    <w:rsid w:val="00F806FA"/>
    <w:rsid w:val="00F80DF4"/>
    <w:rsid w:val="00F80F66"/>
    <w:rsid w:val="00F811DC"/>
    <w:rsid w:val="00F815A4"/>
    <w:rsid w:val="00F81787"/>
    <w:rsid w:val="00F826BC"/>
    <w:rsid w:val="00F831D8"/>
    <w:rsid w:val="00F836D9"/>
    <w:rsid w:val="00F8395B"/>
    <w:rsid w:val="00F8421F"/>
    <w:rsid w:val="00F84251"/>
    <w:rsid w:val="00F84600"/>
    <w:rsid w:val="00F8478D"/>
    <w:rsid w:val="00F84D85"/>
    <w:rsid w:val="00F85630"/>
    <w:rsid w:val="00F8576B"/>
    <w:rsid w:val="00F86546"/>
    <w:rsid w:val="00F87296"/>
    <w:rsid w:val="00F873D8"/>
    <w:rsid w:val="00F87D56"/>
    <w:rsid w:val="00F907B0"/>
    <w:rsid w:val="00F90915"/>
    <w:rsid w:val="00F90B8A"/>
    <w:rsid w:val="00F9148F"/>
    <w:rsid w:val="00F918BB"/>
    <w:rsid w:val="00F91E0E"/>
    <w:rsid w:val="00F92999"/>
    <w:rsid w:val="00F92B57"/>
    <w:rsid w:val="00F93431"/>
    <w:rsid w:val="00F93752"/>
    <w:rsid w:val="00F94100"/>
    <w:rsid w:val="00F94B95"/>
    <w:rsid w:val="00F9512F"/>
    <w:rsid w:val="00F951BD"/>
    <w:rsid w:val="00F957CD"/>
    <w:rsid w:val="00F95BD7"/>
    <w:rsid w:val="00F95DD7"/>
    <w:rsid w:val="00F95E9F"/>
    <w:rsid w:val="00F9621B"/>
    <w:rsid w:val="00F96530"/>
    <w:rsid w:val="00F9690D"/>
    <w:rsid w:val="00F96920"/>
    <w:rsid w:val="00F96CC8"/>
    <w:rsid w:val="00F96CF9"/>
    <w:rsid w:val="00F9714A"/>
    <w:rsid w:val="00F971A5"/>
    <w:rsid w:val="00F975F2"/>
    <w:rsid w:val="00F9794C"/>
    <w:rsid w:val="00FA0073"/>
    <w:rsid w:val="00FA0D8B"/>
    <w:rsid w:val="00FA11EE"/>
    <w:rsid w:val="00FA1502"/>
    <w:rsid w:val="00FA1606"/>
    <w:rsid w:val="00FA1618"/>
    <w:rsid w:val="00FA1DCA"/>
    <w:rsid w:val="00FA297B"/>
    <w:rsid w:val="00FA3F9A"/>
    <w:rsid w:val="00FA3FD4"/>
    <w:rsid w:val="00FA4156"/>
    <w:rsid w:val="00FA4479"/>
    <w:rsid w:val="00FA46E1"/>
    <w:rsid w:val="00FA4C0E"/>
    <w:rsid w:val="00FA4D2B"/>
    <w:rsid w:val="00FA5365"/>
    <w:rsid w:val="00FA66FC"/>
    <w:rsid w:val="00FA6910"/>
    <w:rsid w:val="00FA6F18"/>
    <w:rsid w:val="00FA795B"/>
    <w:rsid w:val="00FA7DD4"/>
    <w:rsid w:val="00FB0533"/>
    <w:rsid w:val="00FB0965"/>
    <w:rsid w:val="00FB0B10"/>
    <w:rsid w:val="00FB12E2"/>
    <w:rsid w:val="00FB1549"/>
    <w:rsid w:val="00FB2534"/>
    <w:rsid w:val="00FB2741"/>
    <w:rsid w:val="00FB2ADD"/>
    <w:rsid w:val="00FB3319"/>
    <w:rsid w:val="00FB3A0D"/>
    <w:rsid w:val="00FB4A26"/>
    <w:rsid w:val="00FB4DCD"/>
    <w:rsid w:val="00FB5017"/>
    <w:rsid w:val="00FB50AD"/>
    <w:rsid w:val="00FB51F9"/>
    <w:rsid w:val="00FB5CFA"/>
    <w:rsid w:val="00FB6583"/>
    <w:rsid w:val="00FB7A48"/>
    <w:rsid w:val="00FB7F07"/>
    <w:rsid w:val="00FC0111"/>
    <w:rsid w:val="00FC01BD"/>
    <w:rsid w:val="00FC1042"/>
    <w:rsid w:val="00FC1ED8"/>
    <w:rsid w:val="00FC32BF"/>
    <w:rsid w:val="00FC3A07"/>
    <w:rsid w:val="00FC3AE7"/>
    <w:rsid w:val="00FC3D6F"/>
    <w:rsid w:val="00FC4020"/>
    <w:rsid w:val="00FC42EC"/>
    <w:rsid w:val="00FC4784"/>
    <w:rsid w:val="00FC4D16"/>
    <w:rsid w:val="00FC4DD9"/>
    <w:rsid w:val="00FC4FD2"/>
    <w:rsid w:val="00FC5903"/>
    <w:rsid w:val="00FC5C49"/>
    <w:rsid w:val="00FC68EF"/>
    <w:rsid w:val="00FC6D36"/>
    <w:rsid w:val="00FC7315"/>
    <w:rsid w:val="00FC7904"/>
    <w:rsid w:val="00FC7BA6"/>
    <w:rsid w:val="00FC7DA6"/>
    <w:rsid w:val="00FC7E0B"/>
    <w:rsid w:val="00FD00CC"/>
    <w:rsid w:val="00FD05BC"/>
    <w:rsid w:val="00FD18C2"/>
    <w:rsid w:val="00FD2197"/>
    <w:rsid w:val="00FD21F6"/>
    <w:rsid w:val="00FD3081"/>
    <w:rsid w:val="00FD31D3"/>
    <w:rsid w:val="00FD323F"/>
    <w:rsid w:val="00FD3821"/>
    <w:rsid w:val="00FD3A5F"/>
    <w:rsid w:val="00FD41CA"/>
    <w:rsid w:val="00FD517D"/>
    <w:rsid w:val="00FD51DF"/>
    <w:rsid w:val="00FD533C"/>
    <w:rsid w:val="00FD5B49"/>
    <w:rsid w:val="00FD5BF3"/>
    <w:rsid w:val="00FD5D12"/>
    <w:rsid w:val="00FD6F51"/>
    <w:rsid w:val="00FD6FC2"/>
    <w:rsid w:val="00FE010A"/>
    <w:rsid w:val="00FE063C"/>
    <w:rsid w:val="00FE0B99"/>
    <w:rsid w:val="00FE190C"/>
    <w:rsid w:val="00FE1C7B"/>
    <w:rsid w:val="00FE286F"/>
    <w:rsid w:val="00FE2C81"/>
    <w:rsid w:val="00FE2F7A"/>
    <w:rsid w:val="00FE3520"/>
    <w:rsid w:val="00FE3D63"/>
    <w:rsid w:val="00FE46EC"/>
    <w:rsid w:val="00FE483B"/>
    <w:rsid w:val="00FE5FD9"/>
    <w:rsid w:val="00FE60C8"/>
    <w:rsid w:val="00FE6BE4"/>
    <w:rsid w:val="00FE70FB"/>
    <w:rsid w:val="00FE7C65"/>
    <w:rsid w:val="00FE7EC0"/>
    <w:rsid w:val="00FF098D"/>
    <w:rsid w:val="00FF0AFA"/>
    <w:rsid w:val="00FF1662"/>
    <w:rsid w:val="00FF19BE"/>
    <w:rsid w:val="00FF1B7C"/>
    <w:rsid w:val="00FF1FE6"/>
    <w:rsid w:val="00FF3014"/>
    <w:rsid w:val="00FF3BFF"/>
    <w:rsid w:val="00FF4DA0"/>
    <w:rsid w:val="00FF52F6"/>
    <w:rsid w:val="00FF5319"/>
    <w:rsid w:val="00FF57B8"/>
    <w:rsid w:val="00FF59CD"/>
    <w:rsid w:val="00FF5CCA"/>
    <w:rsid w:val="00FF6450"/>
    <w:rsid w:val="00FF6661"/>
    <w:rsid w:val="00FF6F84"/>
    <w:rsid w:val="00FF70F0"/>
    <w:rsid w:val="00FF7208"/>
    <w:rsid w:val="00FF7A3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54"/>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pl-PL" w:eastAsia="pl-PL"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Normal">
    <w:name w:val="Normal"/>
    <w:qFormat/>
    <w:rsid w:val="00996401"/>
    <w:rPr>
      <w:sz w:val="24"/>
      <w:szCs w:val="24"/>
    </w:rPr>
  </w:style>
  <w:style w:type="paragraph" w:styleId="Heading1">
    <w:name w:val="heading 1"/>
    <w:basedOn w:val="Normal"/>
    <w:next w:val="Normal"/>
    <w:link w:val="Heading1Char"/>
    <w:uiPriority w:val="99"/>
    <w:qFormat/>
    <w:rsid w:val="00996401"/>
    <w:pPr>
      <w:keepNext/>
      <w:keepLines/>
      <w:spacing w:before="480"/>
      <w:outlineLvl w:val="0"/>
    </w:pPr>
    <w:rPr>
      <w:rFonts w:ascii="Cambria" w:hAnsi="Cambria"/>
      <w:b/>
      <w:bCs/>
      <w:color w:val="365F91"/>
      <w:sz w:val="28"/>
      <w:szCs w:val="28"/>
    </w:rPr>
  </w:style>
  <w:style w:type="paragraph" w:styleId="Heading2">
    <w:name w:val="heading 2"/>
    <w:aliases w:val="Nagłówek 2_Śląsk,Paragraaf"/>
    <w:basedOn w:val="Styl2lsk"/>
    <w:next w:val="Normal"/>
    <w:link w:val="Heading2Char"/>
    <w:uiPriority w:val="99"/>
    <w:qFormat/>
    <w:rsid w:val="00A840B9"/>
  </w:style>
  <w:style w:type="paragraph" w:styleId="Heading3">
    <w:name w:val="heading 3"/>
    <w:aliases w:val="Org Heading 1,h1"/>
    <w:basedOn w:val="Normal"/>
    <w:next w:val="Normal"/>
    <w:link w:val="Heading3Char"/>
    <w:uiPriority w:val="99"/>
    <w:qFormat/>
    <w:rsid w:val="00996401"/>
    <w:pPr>
      <w:keepNext/>
      <w:spacing w:before="240" w:after="60"/>
      <w:ind w:left="2280" w:hanging="720"/>
      <w:outlineLvl w:val="2"/>
    </w:pPr>
    <w:rPr>
      <w:rFonts w:ascii="Arial" w:hAnsi="Arial" w:cs="Arial"/>
      <w:b/>
      <w:bCs/>
      <w:sz w:val="26"/>
      <w:szCs w:val="26"/>
    </w:rPr>
  </w:style>
  <w:style w:type="paragraph" w:styleId="Heading4">
    <w:name w:val="heading 4"/>
    <w:aliases w:val="Bijlage,Bijlage Znak"/>
    <w:basedOn w:val="Normal"/>
    <w:next w:val="Normal"/>
    <w:link w:val="Heading4Char"/>
    <w:uiPriority w:val="99"/>
    <w:qFormat/>
    <w:rsid w:val="00996401"/>
    <w:pPr>
      <w:keepNext/>
      <w:spacing w:before="240" w:after="60"/>
      <w:ind w:left="864" w:hanging="864"/>
      <w:outlineLvl w:val="3"/>
    </w:pPr>
    <w:rPr>
      <w:b/>
      <w:bCs/>
      <w:sz w:val="28"/>
      <w:szCs w:val="28"/>
    </w:rPr>
  </w:style>
  <w:style w:type="paragraph" w:styleId="Heading5">
    <w:name w:val="heading 5"/>
    <w:basedOn w:val="Normal"/>
    <w:next w:val="Normal"/>
    <w:link w:val="Heading5Char"/>
    <w:uiPriority w:val="99"/>
    <w:qFormat/>
    <w:rsid w:val="00996401"/>
    <w:pPr>
      <w:spacing w:before="240" w:after="60"/>
      <w:ind w:left="1008" w:hanging="1008"/>
      <w:outlineLvl w:val="4"/>
    </w:pPr>
    <w:rPr>
      <w:b/>
      <w:bCs/>
      <w:i/>
      <w:iCs/>
      <w:sz w:val="26"/>
      <w:szCs w:val="26"/>
    </w:rPr>
  </w:style>
  <w:style w:type="paragraph" w:styleId="Heading6">
    <w:name w:val="heading 6"/>
    <w:basedOn w:val="Normal"/>
    <w:next w:val="Normal"/>
    <w:link w:val="Heading6Char"/>
    <w:uiPriority w:val="99"/>
    <w:qFormat/>
    <w:rsid w:val="00996401"/>
    <w:pPr>
      <w:spacing w:before="240" w:after="60"/>
      <w:ind w:left="1152" w:hanging="1152"/>
      <w:outlineLvl w:val="5"/>
    </w:pPr>
    <w:rPr>
      <w:b/>
      <w:bCs/>
      <w:sz w:val="22"/>
      <w:szCs w:val="22"/>
    </w:rPr>
  </w:style>
  <w:style w:type="paragraph" w:styleId="Heading7">
    <w:name w:val="heading 7"/>
    <w:basedOn w:val="Normal"/>
    <w:next w:val="Normal"/>
    <w:link w:val="Heading7Char"/>
    <w:uiPriority w:val="99"/>
    <w:qFormat/>
    <w:rsid w:val="00996401"/>
    <w:pPr>
      <w:spacing w:before="240" w:after="60"/>
      <w:ind w:left="1296" w:hanging="1296"/>
      <w:outlineLvl w:val="6"/>
    </w:pPr>
  </w:style>
  <w:style w:type="paragraph" w:styleId="Heading8">
    <w:name w:val="heading 8"/>
    <w:basedOn w:val="Normal"/>
    <w:next w:val="Normal"/>
    <w:link w:val="Heading8Char"/>
    <w:uiPriority w:val="99"/>
    <w:qFormat/>
    <w:rsid w:val="00996401"/>
    <w:pPr>
      <w:spacing w:before="240" w:after="60"/>
      <w:ind w:left="1440" w:hanging="1440"/>
      <w:outlineLvl w:val="7"/>
    </w:pPr>
    <w:rPr>
      <w:i/>
      <w:iCs/>
    </w:rPr>
  </w:style>
  <w:style w:type="paragraph" w:styleId="Heading9">
    <w:name w:val="heading 9"/>
    <w:basedOn w:val="Normal"/>
    <w:next w:val="Normal"/>
    <w:link w:val="Heading9Char"/>
    <w:uiPriority w:val="99"/>
    <w:qFormat/>
    <w:rsid w:val="00996401"/>
    <w:pPr>
      <w:spacing w:before="240" w:after="60"/>
      <w:ind w:left="1584"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996401"/>
    <w:rPr>
      <w:rFonts w:ascii="Cambria" w:hAnsi="Cambria"/>
      <w:b/>
      <w:color w:val="365F91"/>
      <w:sz w:val="28"/>
    </w:rPr>
  </w:style>
  <w:style w:type="character" w:customStyle="1" w:styleId="Heading2Char">
    <w:name w:val="Heading 2 Char"/>
    <w:aliases w:val="Nagłówek 2_Śląsk Char,Paragraaf Char"/>
    <w:basedOn w:val="DefaultParagraphFont"/>
    <w:link w:val="Heading2"/>
    <w:uiPriority w:val="99"/>
    <w:locked/>
    <w:rsid w:val="00A840B9"/>
    <w:rPr>
      <w:rFonts w:ascii="Trebuchet MS" w:hAnsi="Trebuchet MS"/>
      <w:b/>
      <w:caps/>
      <w:sz w:val="24"/>
    </w:rPr>
  </w:style>
  <w:style w:type="character" w:customStyle="1" w:styleId="Heading3Char">
    <w:name w:val="Heading 3 Char"/>
    <w:aliases w:val="Org Heading 1 Char,h1 Char"/>
    <w:basedOn w:val="DefaultParagraphFont"/>
    <w:link w:val="Heading3"/>
    <w:uiPriority w:val="99"/>
    <w:locked/>
    <w:rsid w:val="00996401"/>
    <w:rPr>
      <w:rFonts w:ascii="Arial" w:hAnsi="Arial"/>
      <w:b/>
      <w:sz w:val="26"/>
    </w:rPr>
  </w:style>
  <w:style w:type="character" w:customStyle="1" w:styleId="Heading4Char">
    <w:name w:val="Heading 4 Char"/>
    <w:aliases w:val="Bijlage Char,Bijlage Znak Char"/>
    <w:basedOn w:val="DefaultParagraphFont"/>
    <w:link w:val="Heading4"/>
    <w:uiPriority w:val="99"/>
    <w:locked/>
    <w:rsid w:val="00996401"/>
    <w:rPr>
      <w:b/>
      <w:sz w:val="28"/>
    </w:rPr>
  </w:style>
  <w:style w:type="character" w:customStyle="1" w:styleId="Heading5Char">
    <w:name w:val="Heading 5 Char"/>
    <w:basedOn w:val="DefaultParagraphFont"/>
    <w:link w:val="Heading5"/>
    <w:uiPriority w:val="99"/>
    <w:locked/>
    <w:rsid w:val="00996401"/>
    <w:rPr>
      <w:b/>
      <w:i/>
      <w:sz w:val="26"/>
    </w:rPr>
  </w:style>
  <w:style w:type="character" w:customStyle="1" w:styleId="Heading6Char">
    <w:name w:val="Heading 6 Char"/>
    <w:basedOn w:val="DefaultParagraphFont"/>
    <w:link w:val="Heading6"/>
    <w:uiPriority w:val="99"/>
    <w:locked/>
    <w:rsid w:val="00996401"/>
    <w:rPr>
      <w:b/>
      <w:sz w:val="22"/>
    </w:rPr>
  </w:style>
  <w:style w:type="character" w:customStyle="1" w:styleId="Heading7Char">
    <w:name w:val="Heading 7 Char"/>
    <w:basedOn w:val="DefaultParagraphFont"/>
    <w:link w:val="Heading7"/>
    <w:uiPriority w:val="99"/>
    <w:locked/>
    <w:rsid w:val="00996401"/>
    <w:rPr>
      <w:sz w:val="24"/>
    </w:rPr>
  </w:style>
  <w:style w:type="character" w:customStyle="1" w:styleId="Heading8Char">
    <w:name w:val="Heading 8 Char"/>
    <w:basedOn w:val="DefaultParagraphFont"/>
    <w:link w:val="Heading8"/>
    <w:uiPriority w:val="99"/>
    <w:locked/>
    <w:rsid w:val="00996401"/>
    <w:rPr>
      <w:i/>
      <w:sz w:val="24"/>
    </w:rPr>
  </w:style>
  <w:style w:type="character" w:customStyle="1" w:styleId="Heading9Char">
    <w:name w:val="Heading 9 Char"/>
    <w:basedOn w:val="DefaultParagraphFont"/>
    <w:link w:val="Heading9"/>
    <w:uiPriority w:val="99"/>
    <w:locked/>
    <w:rsid w:val="00996401"/>
    <w:rPr>
      <w:rFonts w:ascii="Arial" w:hAnsi="Arial"/>
      <w:sz w:val="22"/>
    </w:rPr>
  </w:style>
  <w:style w:type="paragraph" w:styleId="DocumentMap">
    <w:name w:val="Document Map"/>
    <w:basedOn w:val="Normal"/>
    <w:link w:val="DocumentMapChar"/>
    <w:uiPriority w:val="99"/>
    <w:rsid w:val="00996401"/>
    <w:rPr>
      <w:rFonts w:ascii="Tahoma" w:hAnsi="Tahoma" w:cs="Tahoma"/>
      <w:sz w:val="16"/>
      <w:szCs w:val="16"/>
    </w:rPr>
  </w:style>
  <w:style w:type="character" w:customStyle="1" w:styleId="DocumentMapChar">
    <w:name w:val="Document Map Char"/>
    <w:basedOn w:val="DefaultParagraphFont"/>
    <w:link w:val="DocumentMap"/>
    <w:uiPriority w:val="99"/>
    <w:locked/>
    <w:rsid w:val="00996401"/>
    <w:rPr>
      <w:rFonts w:ascii="Tahoma" w:hAnsi="Tahoma"/>
      <w:sz w:val="16"/>
    </w:rPr>
  </w:style>
  <w:style w:type="paragraph" w:styleId="Header">
    <w:name w:val="header"/>
    <w:basedOn w:val="Normal"/>
    <w:link w:val="HeaderChar"/>
    <w:uiPriority w:val="99"/>
    <w:rsid w:val="00996401"/>
    <w:pPr>
      <w:tabs>
        <w:tab w:val="center" w:pos="4536"/>
        <w:tab w:val="right" w:pos="9072"/>
      </w:tabs>
    </w:pPr>
  </w:style>
  <w:style w:type="character" w:customStyle="1" w:styleId="HeaderChar">
    <w:name w:val="Header Char"/>
    <w:basedOn w:val="DefaultParagraphFont"/>
    <w:link w:val="Header"/>
    <w:uiPriority w:val="99"/>
    <w:locked/>
    <w:rsid w:val="00996401"/>
    <w:rPr>
      <w:sz w:val="24"/>
    </w:rPr>
  </w:style>
  <w:style w:type="paragraph" w:styleId="Footer">
    <w:name w:val="footer"/>
    <w:basedOn w:val="Normal"/>
    <w:link w:val="FooterChar"/>
    <w:uiPriority w:val="99"/>
    <w:rsid w:val="00996401"/>
    <w:pPr>
      <w:tabs>
        <w:tab w:val="center" w:pos="4536"/>
        <w:tab w:val="right" w:pos="9072"/>
      </w:tabs>
    </w:pPr>
  </w:style>
  <w:style w:type="character" w:customStyle="1" w:styleId="FooterChar">
    <w:name w:val="Footer Char"/>
    <w:basedOn w:val="DefaultParagraphFont"/>
    <w:link w:val="Footer"/>
    <w:uiPriority w:val="99"/>
    <w:locked/>
    <w:rsid w:val="00996401"/>
    <w:rPr>
      <w:sz w:val="24"/>
    </w:rPr>
  </w:style>
  <w:style w:type="paragraph" w:styleId="BalloonText">
    <w:name w:val="Balloon Text"/>
    <w:basedOn w:val="Normal"/>
    <w:link w:val="BalloonTextChar"/>
    <w:uiPriority w:val="99"/>
    <w:rsid w:val="00996401"/>
    <w:rPr>
      <w:rFonts w:ascii="Tahoma" w:hAnsi="Tahoma" w:cs="Tahoma"/>
      <w:sz w:val="16"/>
      <w:szCs w:val="16"/>
    </w:rPr>
  </w:style>
  <w:style w:type="character" w:customStyle="1" w:styleId="BalloonTextChar">
    <w:name w:val="Balloon Text Char"/>
    <w:basedOn w:val="DefaultParagraphFont"/>
    <w:link w:val="BalloonText"/>
    <w:uiPriority w:val="99"/>
    <w:locked/>
    <w:rsid w:val="00996401"/>
    <w:rPr>
      <w:rFonts w:ascii="Tahoma" w:hAnsi="Tahoma"/>
      <w:sz w:val="16"/>
    </w:rPr>
  </w:style>
  <w:style w:type="character" w:customStyle="1" w:styleId="frambanner1iwlabel4css1">
    <w:name w:val="frambanner1iwlabel4css1"/>
    <w:uiPriority w:val="99"/>
    <w:rsid w:val="00996401"/>
    <w:rPr>
      <w:rFonts w:ascii="Arial" w:hAnsi="Arial"/>
      <w:color w:val="FFFFCC"/>
      <w:sz w:val="15"/>
    </w:rPr>
  </w:style>
  <w:style w:type="paragraph" w:styleId="Title">
    <w:name w:val="Title"/>
    <w:basedOn w:val="Normal"/>
    <w:link w:val="TitleChar"/>
    <w:uiPriority w:val="99"/>
    <w:qFormat/>
    <w:rsid w:val="00D302C3"/>
    <w:pPr>
      <w:spacing w:line="360" w:lineRule="auto"/>
      <w:jc w:val="center"/>
    </w:pPr>
    <w:rPr>
      <w:rFonts w:ascii="Calibri" w:hAnsi="Calibri"/>
      <w:b/>
      <w:sz w:val="28"/>
      <w:szCs w:val="20"/>
    </w:rPr>
  </w:style>
  <w:style w:type="character" w:customStyle="1" w:styleId="TitleChar">
    <w:name w:val="Title Char"/>
    <w:basedOn w:val="DefaultParagraphFont"/>
    <w:link w:val="Title"/>
    <w:uiPriority w:val="99"/>
    <w:locked/>
    <w:rsid w:val="00D302C3"/>
    <w:rPr>
      <w:rFonts w:ascii="Calibri" w:hAnsi="Calibri"/>
      <w:b/>
      <w:sz w:val="28"/>
    </w:rPr>
  </w:style>
  <w:style w:type="paragraph" w:customStyle="1" w:styleId="normalBP">
    <w:name w:val="normal BP"/>
    <w:basedOn w:val="Normal"/>
    <w:link w:val="normalBPZnak"/>
    <w:uiPriority w:val="99"/>
    <w:rsid w:val="00996401"/>
    <w:pPr>
      <w:spacing w:line="276" w:lineRule="auto"/>
      <w:jc w:val="both"/>
    </w:pPr>
    <w:rPr>
      <w:sz w:val="22"/>
      <w:szCs w:val="22"/>
    </w:rPr>
  </w:style>
  <w:style w:type="character" w:customStyle="1" w:styleId="normalBPZnak">
    <w:name w:val="normal BP Znak"/>
    <w:link w:val="normalBP"/>
    <w:uiPriority w:val="99"/>
    <w:locked/>
    <w:rsid w:val="00996401"/>
    <w:rPr>
      <w:sz w:val="22"/>
    </w:rPr>
  </w:style>
  <w:style w:type="paragraph" w:customStyle="1" w:styleId="Nagwekspisutreci1">
    <w:name w:val="Nagłówek spisu treści1"/>
    <w:basedOn w:val="Heading1"/>
    <w:next w:val="Normal"/>
    <w:uiPriority w:val="99"/>
    <w:semiHidden/>
    <w:rsid w:val="00996401"/>
    <w:pPr>
      <w:spacing w:line="276" w:lineRule="auto"/>
      <w:outlineLvl w:val="9"/>
    </w:pPr>
    <w:rPr>
      <w:lang w:eastAsia="en-US"/>
    </w:rPr>
  </w:style>
  <w:style w:type="paragraph" w:customStyle="1" w:styleId="nag1spec">
    <w:name w:val="nagł 1_spec"/>
    <w:basedOn w:val="Heading1"/>
    <w:link w:val="nag1specZnak"/>
    <w:uiPriority w:val="99"/>
    <w:rsid w:val="00996401"/>
    <w:pPr>
      <w:keepLines w:val="0"/>
      <w:spacing w:before="240" w:after="60"/>
    </w:pPr>
    <w:rPr>
      <w:rFonts w:cs="Arial"/>
      <w:b w:val="0"/>
      <w:color w:val="auto"/>
      <w:kern w:val="32"/>
      <w:sz w:val="36"/>
      <w:szCs w:val="36"/>
    </w:rPr>
  </w:style>
  <w:style w:type="character" w:customStyle="1" w:styleId="nag1specZnak">
    <w:name w:val="nagł 1_spec Znak"/>
    <w:link w:val="nag1spec"/>
    <w:uiPriority w:val="99"/>
    <w:locked/>
    <w:rsid w:val="00996401"/>
    <w:rPr>
      <w:rFonts w:ascii="Cambria" w:hAnsi="Cambria"/>
      <w:b/>
      <w:color w:val="365F91"/>
      <w:kern w:val="32"/>
      <w:sz w:val="36"/>
    </w:rPr>
  </w:style>
  <w:style w:type="paragraph" w:styleId="ListParagraph">
    <w:name w:val="List Paragraph"/>
    <w:aliases w:val="maz_wyliczenie,opis dzialania,K-P_odwolanie,A_wyliczenie,Akapit z listą5,Akapit z listą51"/>
    <w:basedOn w:val="Normal"/>
    <w:link w:val="ListParagraphChar1"/>
    <w:uiPriority w:val="99"/>
    <w:qFormat/>
    <w:rsid w:val="00670A55"/>
    <w:pPr>
      <w:ind w:left="720"/>
      <w:contextualSpacing/>
    </w:pPr>
    <w:rPr>
      <w:rFonts w:ascii="Calibri" w:hAnsi="Calibri"/>
      <w:sz w:val="22"/>
    </w:rPr>
  </w:style>
  <w:style w:type="paragraph" w:customStyle="1" w:styleId="nag1BP">
    <w:name w:val="nagł 1_BP"/>
    <w:basedOn w:val="Heading1"/>
    <w:link w:val="nag1BPZnak"/>
    <w:uiPriority w:val="99"/>
    <w:rsid w:val="00993D83"/>
    <w:pPr>
      <w:keepLines w:val="0"/>
      <w:spacing w:before="240" w:after="60"/>
      <w:ind w:left="432" w:hanging="432"/>
    </w:pPr>
    <w:rPr>
      <w:rFonts w:ascii="Times New Roman" w:hAnsi="Times New Roman"/>
      <w:color w:val="auto"/>
      <w:kern w:val="32"/>
      <w:sz w:val="32"/>
      <w:szCs w:val="32"/>
    </w:rPr>
  </w:style>
  <w:style w:type="character" w:customStyle="1" w:styleId="nag1BPZnak">
    <w:name w:val="nagł 1_BP Znak"/>
    <w:link w:val="nag1BP"/>
    <w:uiPriority w:val="99"/>
    <w:locked/>
    <w:rsid w:val="00993D83"/>
    <w:rPr>
      <w:rFonts w:ascii="Cambria" w:hAnsi="Cambria"/>
      <w:b/>
      <w:color w:val="365F91"/>
      <w:kern w:val="32"/>
      <w:sz w:val="32"/>
    </w:rPr>
  </w:style>
  <w:style w:type="paragraph" w:customStyle="1" w:styleId="GOMnagl3">
    <w:name w:val="GOM_nagl3"/>
    <w:basedOn w:val="GOMnagl1"/>
    <w:next w:val="GOMnormal"/>
    <w:link w:val="GOMnagl3Znak"/>
    <w:uiPriority w:val="99"/>
    <w:rsid w:val="00F0522F"/>
    <w:pPr>
      <w:numPr>
        <w:ilvl w:val="2"/>
      </w:numPr>
      <w:pBdr>
        <w:bottom w:val="single" w:sz="12" w:space="1" w:color="003399"/>
      </w:pBdr>
      <w:spacing w:before="240" w:after="120"/>
      <w:ind w:left="851" w:hanging="851"/>
    </w:pPr>
    <w:rPr>
      <w:sz w:val="24"/>
      <w:szCs w:val="22"/>
      <w:lang w:eastAsia="ar-SA"/>
    </w:rPr>
  </w:style>
  <w:style w:type="character" w:customStyle="1" w:styleId="GOMnagl3Znak">
    <w:name w:val="GOM_nagl3 Znak"/>
    <w:link w:val="GOMnagl3"/>
    <w:uiPriority w:val="99"/>
    <w:locked/>
    <w:rsid w:val="00F0522F"/>
    <w:rPr>
      <w:rFonts w:ascii="Calibri" w:hAnsi="Calibri"/>
      <w:b/>
      <w:bCs/>
      <w:iCs/>
      <w:caps/>
      <w:color w:val="003399"/>
      <w:sz w:val="24"/>
      <w:lang w:eastAsia="ar-SA"/>
    </w:rPr>
  </w:style>
  <w:style w:type="paragraph" w:customStyle="1" w:styleId="nag2BP">
    <w:name w:val="nagł 2_BP"/>
    <w:basedOn w:val="Normal"/>
    <w:link w:val="nag2BPZnak"/>
    <w:uiPriority w:val="99"/>
    <w:rsid w:val="00993D83"/>
    <w:pPr>
      <w:keepNext/>
      <w:tabs>
        <w:tab w:val="num" w:pos="1440"/>
      </w:tabs>
      <w:spacing w:before="240" w:after="60" w:line="360" w:lineRule="auto"/>
      <w:ind w:left="1440" w:hanging="720"/>
      <w:jc w:val="both"/>
      <w:outlineLvl w:val="1"/>
    </w:pPr>
    <w:rPr>
      <w:b/>
      <w:bCs/>
      <w:i/>
      <w:iCs/>
      <w:sz w:val="28"/>
      <w:szCs w:val="28"/>
    </w:rPr>
  </w:style>
  <w:style w:type="character" w:customStyle="1" w:styleId="nag2BPZnak">
    <w:name w:val="nagł 2_BP Znak"/>
    <w:link w:val="nag2BP"/>
    <w:uiPriority w:val="99"/>
    <w:locked/>
    <w:rsid w:val="00993D83"/>
    <w:rPr>
      <w:b/>
      <w:i/>
      <w:sz w:val="28"/>
    </w:rPr>
  </w:style>
  <w:style w:type="paragraph" w:customStyle="1" w:styleId="StylNagwek214ptPogrubienie">
    <w:name w:val="Styl Nagłówek 2 + 14 pt Pogrubienie"/>
    <w:basedOn w:val="Heading2"/>
    <w:link w:val="StylNagwek214ptPogrubienieZnak"/>
    <w:uiPriority w:val="99"/>
    <w:rsid w:val="00C13FC9"/>
    <w:pPr>
      <w:numPr>
        <w:ilvl w:val="1"/>
      </w:numPr>
      <w:ind w:left="576" w:hanging="576"/>
    </w:pPr>
    <w:rPr>
      <w:sz w:val="28"/>
    </w:rPr>
  </w:style>
  <w:style w:type="character" w:customStyle="1" w:styleId="StylNagwek214ptPogrubienieZnak">
    <w:name w:val="Styl Nagłówek 2 + 14 pt Pogrubienie Znak"/>
    <w:link w:val="StylNagwek214ptPogrubienie"/>
    <w:uiPriority w:val="99"/>
    <w:locked/>
    <w:rsid w:val="00C13FC9"/>
    <w:rPr>
      <w:rFonts w:ascii="Trebuchet MS" w:hAnsi="Trebuchet MS"/>
      <w:b/>
      <w:caps/>
      <w:sz w:val="24"/>
    </w:rPr>
  </w:style>
  <w:style w:type="paragraph" w:styleId="FootnoteText">
    <w:name w:val="footnote text"/>
    <w:aliases w:val="Char,A_przypis,Znak,single space,FOOTNOTES,fn,Podrozdział,Fußnote,Footnote,Podrozdzia3,przypis,Tekst przypisu,Tekst przypisu Znak Znak Znak Znak,Tekst przypisu Znak Znak Znak Znak Znak,maz_przypis,Malopol_przypis,tekst przypisu"/>
    <w:basedOn w:val="Normal"/>
    <w:link w:val="FootnoteTextChar"/>
    <w:uiPriority w:val="99"/>
    <w:rsid w:val="00B451F1"/>
    <w:pPr>
      <w:ind w:left="567" w:hanging="567"/>
      <w:jc w:val="both"/>
    </w:pPr>
    <w:rPr>
      <w:rFonts w:ascii="Arial" w:hAnsi="Arial"/>
      <w:sz w:val="18"/>
      <w:szCs w:val="20"/>
    </w:rPr>
  </w:style>
  <w:style w:type="character" w:customStyle="1" w:styleId="FootnoteTextChar">
    <w:name w:val="Footnote Text Char"/>
    <w:aliases w:val="Char Char,A_przypis Char,Znak Char,single space Char,FOOTNOTES Char,fn Char,Podrozdział Char,Fußnote Char,Footnote Char,Podrozdzia3 Char,przypis Char,Tekst przypisu Char,Tekst przypisu Znak Znak Znak Znak Char,maz_przypis Char"/>
    <w:basedOn w:val="DefaultParagraphFont"/>
    <w:link w:val="FootnoteText"/>
    <w:uiPriority w:val="99"/>
    <w:locked/>
    <w:rsid w:val="00B451F1"/>
    <w:rPr>
      <w:rFonts w:ascii="Arial" w:hAnsi="Arial"/>
      <w:sz w:val="18"/>
    </w:rPr>
  </w:style>
  <w:style w:type="character" w:styleId="FootnoteReference">
    <w:name w:val="footnote reference"/>
    <w:aliases w:val="Footnote Reference Number,Odwołanie przypisu,EN Footnote Reference,Times 10 Point,Exposant 3 Point,Footnote symbol,Footnote reference number,note TESI,stylish,SUPERS,Footnote number,Ref,de nota al pie,Odwo3anie przypisu,number"/>
    <w:basedOn w:val="DefaultParagraphFont"/>
    <w:uiPriority w:val="99"/>
    <w:rsid w:val="00B451F1"/>
    <w:rPr>
      <w:rFonts w:cs="Times New Roman"/>
      <w:vertAlign w:val="superscript"/>
    </w:rPr>
  </w:style>
  <w:style w:type="character" w:styleId="BookTitle">
    <w:name w:val="Book Title"/>
    <w:basedOn w:val="DefaultParagraphFont"/>
    <w:uiPriority w:val="99"/>
    <w:qFormat/>
    <w:rsid w:val="00B451F1"/>
    <w:rPr>
      <w:b/>
      <w:smallCaps/>
      <w:spacing w:val="5"/>
    </w:rPr>
  </w:style>
  <w:style w:type="paragraph" w:customStyle="1" w:styleId="Styl1">
    <w:name w:val="Styl1"/>
    <w:basedOn w:val="Heading2"/>
    <w:link w:val="Styl1Znak"/>
    <w:uiPriority w:val="99"/>
    <w:rsid w:val="00B451F1"/>
    <w:pPr>
      <w:numPr>
        <w:numId w:val="6"/>
      </w:numPr>
    </w:pPr>
    <w:rPr>
      <w:sz w:val="28"/>
    </w:rPr>
  </w:style>
  <w:style w:type="paragraph" w:customStyle="1" w:styleId="Styl2">
    <w:name w:val="Styl2"/>
    <w:basedOn w:val="Heading3"/>
    <w:link w:val="Styl2Znak"/>
    <w:uiPriority w:val="99"/>
    <w:rsid w:val="00B61C98"/>
    <w:pPr>
      <w:numPr>
        <w:ilvl w:val="1"/>
        <w:numId w:val="6"/>
      </w:numPr>
      <w:ind w:left="4117" w:hanging="431"/>
    </w:pPr>
    <w:rPr>
      <w:i/>
    </w:rPr>
  </w:style>
  <w:style w:type="character" w:customStyle="1" w:styleId="Styl1Znak">
    <w:name w:val="Styl1 Znak"/>
    <w:link w:val="Styl1"/>
    <w:uiPriority w:val="99"/>
    <w:locked/>
    <w:rsid w:val="00B451F1"/>
    <w:rPr>
      <w:rFonts w:ascii="Trebuchet MS" w:hAnsi="Trebuchet MS"/>
      <w:b/>
      <w:bCs/>
      <w:iCs/>
      <w:caps/>
      <w:sz w:val="28"/>
      <w:szCs w:val="24"/>
    </w:rPr>
  </w:style>
  <w:style w:type="character" w:customStyle="1" w:styleId="Styl2Znak">
    <w:name w:val="Styl2 Znak"/>
    <w:link w:val="Styl2"/>
    <w:uiPriority w:val="99"/>
    <w:locked/>
    <w:rsid w:val="00B61C98"/>
    <w:rPr>
      <w:rFonts w:ascii="Arial" w:hAnsi="Arial" w:cs="Arial"/>
      <w:b/>
      <w:bCs/>
      <w:i/>
      <w:sz w:val="26"/>
      <w:szCs w:val="26"/>
    </w:rPr>
  </w:style>
  <w:style w:type="character" w:styleId="CommentReference">
    <w:name w:val="annotation reference"/>
    <w:basedOn w:val="DefaultParagraphFont"/>
    <w:uiPriority w:val="99"/>
    <w:rsid w:val="00F76D72"/>
    <w:rPr>
      <w:rFonts w:cs="Times New Roman"/>
      <w:sz w:val="16"/>
    </w:rPr>
  </w:style>
  <w:style w:type="paragraph" w:styleId="CommentText">
    <w:name w:val="annotation text"/>
    <w:basedOn w:val="Normal"/>
    <w:link w:val="CommentTextChar"/>
    <w:uiPriority w:val="99"/>
    <w:rsid w:val="00F76D72"/>
    <w:rPr>
      <w:sz w:val="20"/>
      <w:szCs w:val="20"/>
    </w:rPr>
  </w:style>
  <w:style w:type="character" w:customStyle="1" w:styleId="CommentTextChar">
    <w:name w:val="Comment Text Char"/>
    <w:basedOn w:val="DefaultParagraphFont"/>
    <w:link w:val="CommentText"/>
    <w:uiPriority w:val="99"/>
    <w:locked/>
    <w:rsid w:val="00F76D72"/>
  </w:style>
  <w:style w:type="paragraph" w:styleId="CommentSubject">
    <w:name w:val="annotation subject"/>
    <w:basedOn w:val="CommentText"/>
    <w:next w:val="CommentText"/>
    <w:link w:val="CommentSubjectChar"/>
    <w:uiPriority w:val="99"/>
    <w:rsid w:val="00F76D72"/>
    <w:rPr>
      <w:b/>
      <w:bCs/>
    </w:rPr>
  </w:style>
  <w:style w:type="character" w:customStyle="1" w:styleId="CommentSubjectChar">
    <w:name w:val="Comment Subject Char"/>
    <w:basedOn w:val="CommentTextChar"/>
    <w:link w:val="CommentSubject"/>
    <w:uiPriority w:val="99"/>
    <w:locked/>
    <w:rsid w:val="00F76D72"/>
    <w:rPr>
      <w:b/>
    </w:rPr>
  </w:style>
  <w:style w:type="character" w:styleId="PageNumber">
    <w:name w:val="page number"/>
    <w:basedOn w:val="DefaultParagraphFont"/>
    <w:uiPriority w:val="99"/>
    <w:rsid w:val="00C15F94"/>
    <w:rPr>
      <w:rFonts w:cs="Times New Roman"/>
    </w:rPr>
  </w:style>
  <w:style w:type="character" w:customStyle="1" w:styleId="frambanner1iwlabel5css1">
    <w:name w:val="frambanner1iwlabel5css1"/>
    <w:uiPriority w:val="99"/>
    <w:rsid w:val="00C15F94"/>
    <w:rPr>
      <w:rFonts w:ascii="Arial" w:hAnsi="Arial"/>
      <w:color w:val="FFFFCC"/>
      <w:sz w:val="15"/>
    </w:rPr>
  </w:style>
  <w:style w:type="paragraph" w:customStyle="1" w:styleId="tresc">
    <w:name w:val="tresc"/>
    <w:basedOn w:val="Normal"/>
    <w:uiPriority w:val="99"/>
    <w:rsid w:val="00C15F94"/>
    <w:pPr>
      <w:spacing w:before="113" w:after="113"/>
      <w:jc w:val="both"/>
    </w:pPr>
    <w:rPr>
      <w:rFonts w:ascii="Trebuchet MS" w:hAnsi="Trebuchet MS"/>
      <w:sz w:val="20"/>
      <w:lang w:eastAsia="ar-SA"/>
    </w:rPr>
  </w:style>
  <w:style w:type="paragraph" w:customStyle="1" w:styleId="pogrubiony">
    <w:name w:val="pogrubiony"/>
    <w:basedOn w:val="tresc"/>
    <w:uiPriority w:val="99"/>
    <w:rsid w:val="00C15F94"/>
    <w:pPr>
      <w:spacing w:after="57"/>
      <w:jc w:val="left"/>
    </w:pPr>
    <w:rPr>
      <w:b/>
      <w:bCs/>
      <w:emboss/>
      <w:color w:val="333366"/>
      <w:sz w:val="16"/>
      <w:szCs w:val="16"/>
    </w:rPr>
  </w:style>
  <w:style w:type="paragraph" w:customStyle="1" w:styleId="trescmaly">
    <w:name w:val="tresc maly"/>
    <w:basedOn w:val="tresc"/>
    <w:uiPriority w:val="99"/>
    <w:rsid w:val="00C15F94"/>
    <w:pPr>
      <w:spacing w:before="0" w:after="0"/>
    </w:pPr>
    <w:rPr>
      <w:sz w:val="14"/>
      <w:szCs w:val="20"/>
    </w:rPr>
  </w:style>
  <w:style w:type="character" w:styleId="Hyperlink">
    <w:name w:val="Hyperlink"/>
    <w:basedOn w:val="DefaultParagraphFont"/>
    <w:uiPriority w:val="99"/>
    <w:rsid w:val="00747552"/>
    <w:rPr>
      <w:rFonts w:ascii="Arial" w:hAnsi="Arial" w:cs="Times New Roman"/>
      <w:color w:val="0000FF"/>
      <w:sz w:val="24"/>
      <w:u w:val="single"/>
    </w:rPr>
  </w:style>
  <w:style w:type="paragraph" w:styleId="NormalWeb">
    <w:name w:val="Normal (Web)"/>
    <w:basedOn w:val="Normal"/>
    <w:uiPriority w:val="99"/>
    <w:rsid w:val="00747552"/>
    <w:pPr>
      <w:spacing w:before="100" w:beforeAutospacing="1" w:after="100" w:afterAutospacing="1"/>
    </w:pPr>
  </w:style>
  <w:style w:type="paragraph" w:customStyle="1" w:styleId="Akapitzlist1">
    <w:name w:val="Akapit z listą1"/>
    <w:basedOn w:val="Normal"/>
    <w:uiPriority w:val="99"/>
    <w:rsid w:val="00747552"/>
    <w:pPr>
      <w:ind w:left="720"/>
    </w:pPr>
  </w:style>
  <w:style w:type="character" w:customStyle="1" w:styleId="fontstyle18">
    <w:name w:val="fontstyle18"/>
    <w:uiPriority w:val="99"/>
    <w:rsid w:val="00747552"/>
  </w:style>
  <w:style w:type="table" w:styleId="TableGrid">
    <w:name w:val="Table Grid"/>
    <w:basedOn w:val="TableNormal"/>
    <w:uiPriority w:val="99"/>
    <w:rsid w:val="00747552"/>
    <w:rPr>
      <w:rFonts w:ascii="Calibri" w:hAnsi="Calibri"/>
      <w:sz w:val="20"/>
      <w:szCs w:val="20"/>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tekst3">
    <w:name w:val="tekst3"/>
    <w:basedOn w:val="BodyText"/>
    <w:uiPriority w:val="99"/>
    <w:rsid w:val="00747552"/>
    <w:pPr>
      <w:spacing w:before="120" w:after="240"/>
      <w:ind w:left="1620"/>
    </w:pPr>
    <w:rPr>
      <w:rFonts w:ascii="Arial" w:hAnsi="Arial"/>
    </w:rPr>
  </w:style>
  <w:style w:type="paragraph" w:customStyle="1" w:styleId="normalnyakapit">
    <w:name w:val="normalny akapit"/>
    <w:basedOn w:val="normalBP"/>
    <w:link w:val="normalnyakapitZnak"/>
    <w:uiPriority w:val="99"/>
    <w:rsid w:val="00747552"/>
    <w:rPr>
      <w:b/>
      <w:i/>
      <w:sz w:val="24"/>
      <w:szCs w:val="24"/>
    </w:rPr>
  </w:style>
  <w:style w:type="character" w:customStyle="1" w:styleId="normalnyakapitZnak">
    <w:name w:val="normalny akapit Znak"/>
    <w:link w:val="normalnyakapit"/>
    <w:uiPriority w:val="99"/>
    <w:locked/>
    <w:rsid w:val="00747552"/>
    <w:rPr>
      <w:b/>
      <w:i/>
      <w:sz w:val="24"/>
    </w:rPr>
  </w:style>
  <w:style w:type="paragraph" w:styleId="BodyText">
    <w:name w:val="Body Text"/>
    <w:basedOn w:val="Normal"/>
    <w:link w:val="BodyTextChar"/>
    <w:uiPriority w:val="99"/>
    <w:rsid w:val="00747552"/>
    <w:pPr>
      <w:spacing w:after="120"/>
    </w:pPr>
  </w:style>
  <w:style w:type="character" w:customStyle="1" w:styleId="BodyTextChar">
    <w:name w:val="Body Text Char"/>
    <w:basedOn w:val="DefaultParagraphFont"/>
    <w:link w:val="BodyText"/>
    <w:uiPriority w:val="99"/>
    <w:locked/>
    <w:rsid w:val="00747552"/>
    <w:rPr>
      <w:sz w:val="24"/>
    </w:rPr>
  </w:style>
  <w:style w:type="paragraph" w:customStyle="1" w:styleId="Default">
    <w:name w:val="Default"/>
    <w:link w:val="DefaultZnak"/>
    <w:uiPriority w:val="99"/>
    <w:rsid w:val="00661E51"/>
    <w:pPr>
      <w:autoSpaceDE w:val="0"/>
      <w:autoSpaceDN w:val="0"/>
      <w:adjustRightInd w:val="0"/>
    </w:pPr>
    <w:rPr>
      <w:rFonts w:ascii="Arial" w:hAnsi="Arial" w:cs="Arial"/>
      <w:color w:val="000000"/>
      <w:sz w:val="24"/>
      <w:szCs w:val="24"/>
    </w:rPr>
  </w:style>
  <w:style w:type="paragraph" w:styleId="Caption">
    <w:name w:val="caption"/>
    <w:aliases w:val="Legenda Znak,Legenda Znak Znak Znak,Legenda Znak Znak Znak Znak,Legenda Znak Znak Znak Znak Znak Znak,Legenda Znak Znak Znak Znak Znak Znak Znak,Legenda Znak Znak Znak Znak Znak Znak Znak Znak Znak Z Znak Znak Znak Znak Znak,Legenda Znak Znak Z"/>
    <w:basedOn w:val="Normal"/>
    <w:next w:val="Normal"/>
    <w:link w:val="CaptionChar"/>
    <w:uiPriority w:val="99"/>
    <w:qFormat/>
    <w:rsid w:val="00273DD5"/>
    <w:pPr>
      <w:spacing w:before="120" w:after="120"/>
    </w:pPr>
    <w:rPr>
      <w:rFonts w:ascii="Trebuchet MS" w:hAnsi="Trebuchet MS"/>
      <w:bCs/>
      <w:i/>
      <w:sz w:val="16"/>
      <w:szCs w:val="18"/>
    </w:rPr>
  </w:style>
  <w:style w:type="paragraph" w:customStyle="1" w:styleId="tekst2">
    <w:name w:val="tekst2"/>
    <w:basedOn w:val="BodyText"/>
    <w:uiPriority w:val="99"/>
    <w:rsid w:val="007B53F3"/>
    <w:pPr>
      <w:spacing w:before="120" w:after="240"/>
      <w:ind w:left="900"/>
    </w:pPr>
    <w:rPr>
      <w:rFonts w:ascii="Arial" w:hAnsi="Arial"/>
    </w:rPr>
  </w:style>
  <w:style w:type="paragraph" w:customStyle="1" w:styleId="punkty3">
    <w:name w:val="punkty3"/>
    <w:basedOn w:val="tekst3"/>
    <w:uiPriority w:val="99"/>
    <w:rsid w:val="007B53F3"/>
    <w:pPr>
      <w:tabs>
        <w:tab w:val="num" w:pos="360"/>
      </w:tabs>
      <w:ind w:left="360" w:firstLine="1260"/>
    </w:pPr>
  </w:style>
  <w:style w:type="paragraph" w:customStyle="1" w:styleId="punkty1">
    <w:name w:val="punkty1"/>
    <w:basedOn w:val="tekst3"/>
    <w:uiPriority w:val="99"/>
    <w:rsid w:val="007B53F3"/>
    <w:pPr>
      <w:tabs>
        <w:tab w:val="num" w:pos="360"/>
      </w:tabs>
      <w:ind w:left="360"/>
    </w:pPr>
  </w:style>
  <w:style w:type="paragraph" w:customStyle="1" w:styleId="punkty2">
    <w:name w:val="punkty2"/>
    <w:basedOn w:val="tekst3"/>
    <w:uiPriority w:val="99"/>
    <w:rsid w:val="007B53F3"/>
    <w:pPr>
      <w:tabs>
        <w:tab w:val="num" w:pos="360"/>
      </w:tabs>
      <w:ind w:left="360" w:firstLine="540"/>
    </w:pPr>
  </w:style>
  <w:style w:type="paragraph" w:customStyle="1" w:styleId="1">
    <w:name w:val="1"/>
    <w:basedOn w:val="Heading1"/>
    <w:uiPriority w:val="99"/>
    <w:rsid w:val="007B53F3"/>
    <w:pPr>
      <w:keepLines w:val="0"/>
      <w:numPr>
        <w:numId w:val="7"/>
      </w:numPr>
      <w:spacing w:before="240" w:after="60"/>
    </w:pPr>
    <w:rPr>
      <w:rFonts w:ascii="Arial" w:hAnsi="Arial" w:cs="Arial"/>
      <w:color w:val="auto"/>
      <w:kern w:val="32"/>
      <w:sz w:val="32"/>
      <w:szCs w:val="32"/>
    </w:rPr>
  </w:style>
  <w:style w:type="paragraph" w:customStyle="1" w:styleId="2">
    <w:name w:val="2"/>
    <w:basedOn w:val="Heading3"/>
    <w:uiPriority w:val="99"/>
    <w:rsid w:val="007B53F3"/>
    <w:pPr>
      <w:numPr>
        <w:ilvl w:val="1"/>
        <w:numId w:val="7"/>
      </w:numPr>
      <w:ind w:left="576" w:hanging="576"/>
    </w:pPr>
  </w:style>
  <w:style w:type="paragraph" w:customStyle="1" w:styleId="3">
    <w:name w:val="3"/>
    <w:basedOn w:val="Heading3"/>
    <w:uiPriority w:val="99"/>
    <w:rsid w:val="007B53F3"/>
    <w:pPr>
      <w:numPr>
        <w:ilvl w:val="2"/>
      </w:numPr>
      <w:ind w:left="900" w:hanging="720"/>
    </w:pPr>
    <w:rPr>
      <w:i/>
    </w:rPr>
  </w:style>
  <w:style w:type="paragraph" w:customStyle="1" w:styleId="opistabeli">
    <w:name w:val="opis tabeli"/>
    <w:basedOn w:val="Normal"/>
    <w:uiPriority w:val="99"/>
    <w:rsid w:val="007B53F3"/>
    <w:rPr>
      <w:rFonts w:ascii="Arial" w:hAnsi="Arial" w:cs="Arial"/>
    </w:rPr>
  </w:style>
  <w:style w:type="paragraph" w:customStyle="1" w:styleId="TabelaPOP">
    <w:name w:val="TabelaPOP"/>
    <w:basedOn w:val="1"/>
    <w:uiPriority w:val="99"/>
    <w:rsid w:val="007B53F3"/>
    <w:pPr>
      <w:numPr>
        <w:numId w:val="0"/>
      </w:numPr>
      <w:jc w:val="center"/>
      <w:outlineLvl w:val="9"/>
    </w:pPr>
    <w:rPr>
      <w:caps/>
    </w:rPr>
  </w:style>
  <w:style w:type="paragraph" w:customStyle="1" w:styleId="punkty1a">
    <w:name w:val="punkty1a"/>
    <w:basedOn w:val="tekst3"/>
    <w:uiPriority w:val="99"/>
    <w:rsid w:val="007B53F3"/>
    <w:pPr>
      <w:tabs>
        <w:tab w:val="num" w:pos="360"/>
      </w:tabs>
      <w:ind w:left="360"/>
    </w:pPr>
  </w:style>
  <w:style w:type="paragraph" w:customStyle="1" w:styleId="punkty2a">
    <w:name w:val="punkty 2a"/>
    <w:basedOn w:val="tekst3"/>
    <w:uiPriority w:val="99"/>
    <w:rsid w:val="007B53F3"/>
    <w:pPr>
      <w:tabs>
        <w:tab w:val="num" w:pos="1260"/>
      </w:tabs>
      <w:ind w:left="360" w:firstLine="540"/>
    </w:pPr>
  </w:style>
  <w:style w:type="paragraph" w:customStyle="1" w:styleId="punty3a">
    <w:name w:val="punty3a"/>
    <w:basedOn w:val="tekst3"/>
    <w:uiPriority w:val="99"/>
    <w:rsid w:val="007B53F3"/>
    <w:pPr>
      <w:numPr>
        <w:numId w:val="8"/>
      </w:numPr>
      <w:tabs>
        <w:tab w:val="clear" w:pos="644"/>
        <w:tab w:val="num" w:pos="1980"/>
      </w:tabs>
      <w:ind w:left="360" w:firstLine="1260"/>
    </w:pPr>
  </w:style>
  <w:style w:type="paragraph" w:customStyle="1" w:styleId="czopisowa">
    <w:name w:val="część opisowa"/>
    <w:basedOn w:val="1"/>
    <w:uiPriority w:val="99"/>
    <w:rsid w:val="007B53F3"/>
  </w:style>
  <w:style w:type="paragraph" w:customStyle="1" w:styleId="numerki">
    <w:name w:val="numerki"/>
    <w:basedOn w:val="Heading3"/>
    <w:uiPriority w:val="99"/>
    <w:rsid w:val="007B53F3"/>
    <w:pPr>
      <w:numPr>
        <w:ilvl w:val="2"/>
      </w:numPr>
      <w:tabs>
        <w:tab w:val="num" w:pos="4932"/>
      </w:tabs>
      <w:ind w:left="4932" w:hanging="432"/>
    </w:pPr>
    <w:rPr>
      <w:sz w:val="16"/>
    </w:rPr>
  </w:style>
  <w:style w:type="paragraph" w:customStyle="1" w:styleId="punkt">
    <w:name w:val="punkt"/>
    <w:basedOn w:val="Heading3"/>
    <w:uiPriority w:val="99"/>
    <w:rsid w:val="007B53F3"/>
    <w:pPr>
      <w:numPr>
        <w:ilvl w:val="1"/>
        <w:numId w:val="9"/>
      </w:numPr>
    </w:pPr>
  </w:style>
  <w:style w:type="paragraph" w:styleId="TOC1">
    <w:name w:val="toc 1"/>
    <w:aliases w:val="DS_spis treści,Spis treści 1.1"/>
    <w:basedOn w:val="GOMnormal"/>
    <w:next w:val="GOMnormal"/>
    <w:autoRedefine/>
    <w:uiPriority w:val="99"/>
    <w:rsid w:val="000A1FB0"/>
    <w:pPr>
      <w:tabs>
        <w:tab w:val="left" w:pos="360"/>
        <w:tab w:val="right" w:leader="dot" w:pos="9062"/>
      </w:tabs>
      <w:ind w:left="357" w:hanging="357"/>
    </w:pPr>
    <w:rPr>
      <w:b/>
    </w:rPr>
  </w:style>
  <w:style w:type="paragraph" w:styleId="TOC3">
    <w:name w:val="toc 3"/>
    <w:basedOn w:val="Normal"/>
    <w:next w:val="Normal"/>
    <w:autoRedefine/>
    <w:uiPriority w:val="99"/>
    <w:rsid w:val="00AA723B"/>
    <w:pPr>
      <w:tabs>
        <w:tab w:val="left" w:pos="900"/>
        <w:tab w:val="right" w:leader="dot" w:pos="9062"/>
      </w:tabs>
      <w:ind w:left="900" w:hanging="420"/>
    </w:pPr>
  </w:style>
  <w:style w:type="paragraph" w:customStyle="1" w:styleId="hiper1">
    <w:name w:val="hiper1"/>
    <w:basedOn w:val="TOC3"/>
    <w:uiPriority w:val="99"/>
    <w:rsid w:val="007B53F3"/>
    <w:rPr>
      <w:noProof/>
    </w:rPr>
  </w:style>
  <w:style w:type="paragraph" w:customStyle="1" w:styleId="spispop">
    <w:name w:val="spispop"/>
    <w:basedOn w:val="TOC1"/>
    <w:uiPriority w:val="99"/>
    <w:rsid w:val="007B53F3"/>
    <w:rPr>
      <w:rFonts w:cs="Arial"/>
      <w:noProof/>
    </w:rPr>
  </w:style>
  <w:style w:type="character" w:customStyle="1" w:styleId="frambanner1iwlabel3css1">
    <w:name w:val="frambanner1iwlabel3css1"/>
    <w:uiPriority w:val="99"/>
    <w:rsid w:val="007B53F3"/>
    <w:rPr>
      <w:rFonts w:ascii="Arial" w:hAnsi="Arial"/>
      <w:color w:val="FFFFCC"/>
      <w:sz w:val="15"/>
    </w:rPr>
  </w:style>
  <w:style w:type="character" w:customStyle="1" w:styleId="Znakiprzypiswdolnych">
    <w:name w:val="Znaki przypisów dolnych"/>
    <w:uiPriority w:val="99"/>
    <w:rsid w:val="007B53F3"/>
    <w:rPr>
      <w:vertAlign w:val="superscript"/>
    </w:rPr>
  </w:style>
  <w:style w:type="paragraph" w:customStyle="1" w:styleId="tyt1">
    <w:name w:val="tyt1"/>
    <w:basedOn w:val="Normal"/>
    <w:next w:val="Normal"/>
    <w:uiPriority w:val="99"/>
    <w:rsid w:val="007B53F3"/>
    <w:pPr>
      <w:ind w:left="567" w:hanging="567"/>
    </w:pPr>
    <w:rPr>
      <w:rFonts w:ascii="Arial" w:hAnsi="Arial"/>
      <w:b/>
      <w:caps/>
      <w:sz w:val="28"/>
      <w:szCs w:val="20"/>
    </w:rPr>
  </w:style>
  <w:style w:type="paragraph" w:customStyle="1" w:styleId="pauza2">
    <w:name w:val="pauza2"/>
    <w:basedOn w:val="Normal"/>
    <w:uiPriority w:val="99"/>
    <w:rsid w:val="007B53F3"/>
    <w:pPr>
      <w:tabs>
        <w:tab w:val="num" w:pos="926"/>
      </w:tabs>
      <w:spacing w:line="360" w:lineRule="auto"/>
      <w:ind w:left="926"/>
      <w:jc w:val="both"/>
    </w:pPr>
    <w:rPr>
      <w:rFonts w:ascii="Arial" w:hAnsi="Arial"/>
      <w:sz w:val="20"/>
      <w:szCs w:val="20"/>
    </w:rPr>
  </w:style>
  <w:style w:type="character" w:styleId="Strong">
    <w:name w:val="Strong"/>
    <w:basedOn w:val="DefaultParagraphFont"/>
    <w:uiPriority w:val="99"/>
    <w:qFormat/>
    <w:rsid w:val="007B53F3"/>
    <w:rPr>
      <w:rFonts w:cs="Times New Roman"/>
      <w:b/>
    </w:rPr>
  </w:style>
  <w:style w:type="character" w:customStyle="1" w:styleId="zielonybold1">
    <w:name w:val="zielonybold1"/>
    <w:uiPriority w:val="99"/>
    <w:rsid w:val="007B53F3"/>
    <w:rPr>
      <w:rFonts w:ascii="Verdana" w:hAnsi="Verdana"/>
      <w:b/>
      <w:color w:val="F2756F"/>
      <w:sz w:val="14"/>
    </w:rPr>
  </w:style>
  <w:style w:type="paragraph" w:styleId="BodyText3">
    <w:name w:val="Body Text 3"/>
    <w:basedOn w:val="Normal"/>
    <w:link w:val="BodyText3Char"/>
    <w:uiPriority w:val="99"/>
    <w:rsid w:val="007B53F3"/>
    <w:pPr>
      <w:spacing w:after="120"/>
    </w:pPr>
    <w:rPr>
      <w:sz w:val="16"/>
      <w:szCs w:val="16"/>
    </w:rPr>
  </w:style>
  <w:style w:type="character" w:customStyle="1" w:styleId="BodyText3Char">
    <w:name w:val="Body Text 3 Char"/>
    <w:basedOn w:val="DefaultParagraphFont"/>
    <w:link w:val="BodyText3"/>
    <w:uiPriority w:val="99"/>
    <w:locked/>
    <w:rsid w:val="007B53F3"/>
    <w:rPr>
      <w:sz w:val="16"/>
    </w:rPr>
  </w:style>
  <w:style w:type="character" w:styleId="FollowedHyperlink">
    <w:name w:val="FollowedHyperlink"/>
    <w:basedOn w:val="DefaultParagraphFont"/>
    <w:uiPriority w:val="99"/>
    <w:rsid w:val="007B53F3"/>
    <w:rPr>
      <w:rFonts w:cs="Times New Roman"/>
      <w:color w:val="800080"/>
      <w:u w:val="single"/>
    </w:rPr>
  </w:style>
  <w:style w:type="paragraph" w:customStyle="1" w:styleId="xl25">
    <w:name w:val="xl25"/>
    <w:basedOn w:val="Normal"/>
    <w:uiPriority w:val="99"/>
    <w:rsid w:val="007B53F3"/>
    <w:pPr>
      <w:pBdr>
        <w:top w:val="single" w:sz="8" w:space="0" w:color="auto"/>
        <w:left w:val="single" w:sz="8" w:space="0" w:color="auto"/>
        <w:bottom w:val="single" w:sz="4" w:space="0" w:color="auto"/>
        <w:right w:val="single" w:sz="8" w:space="0" w:color="auto"/>
      </w:pBdr>
      <w:shd w:val="clear" w:color="auto" w:fill="CCFFFF"/>
      <w:spacing w:before="100" w:beforeAutospacing="1" w:after="100" w:afterAutospacing="1"/>
    </w:pPr>
  </w:style>
  <w:style w:type="paragraph" w:customStyle="1" w:styleId="xl26">
    <w:name w:val="xl26"/>
    <w:basedOn w:val="Normal"/>
    <w:uiPriority w:val="99"/>
    <w:rsid w:val="007B53F3"/>
    <w:pPr>
      <w:pBdr>
        <w:top w:val="single" w:sz="8" w:space="0" w:color="auto"/>
        <w:bottom w:val="single" w:sz="4" w:space="0" w:color="auto"/>
      </w:pBdr>
      <w:shd w:val="clear" w:color="auto" w:fill="CCFFFF"/>
      <w:spacing w:before="100" w:beforeAutospacing="1" w:after="100" w:afterAutospacing="1"/>
    </w:pPr>
  </w:style>
  <w:style w:type="paragraph" w:customStyle="1" w:styleId="xl27">
    <w:name w:val="xl27"/>
    <w:basedOn w:val="Normal"/>
    <w:uiPriority w:val="99"/>
    <w:rsid w:val="007B53F3"/>
    <w:pPr>
      <w:pBdr>
        <w:left w:val="single" w:sz="8" w:space="0" w:color="auto"/>
        <w:bottom w:val="single" w:sz="8" w:space="0" w:color="auto"/>
        <w:right w:val="single" w:sz="8" w:space="0" w:color="auto"/>
      </w:pBdr>
      <w:shd w:val="clear" w:color="auto" w:fill="00FF00"/>
      <w:spacing w:before="100" w:beforeAutospacing="1" w:after="100" w:afterAutospacing="1"/>
    </w:pPr>
    <w:rPr>
      <w:rFonts w:ascii="Arial" w:hAnsi="Arial" w:cs="Arial"/>
      <w:b/>
      <w:bCs/>
    </w:rPr>
  </w:style>
  <w:style w:type="paragraph" w:customStyle="1" w:styleId="xl28">
    <w:name w:val="xl28"/>
    <w:basedOn w:val="Normal"/>
    <w:uiPriority w:val="99"/>
    <w:rsid w:val="007B53F3"/>
    <w:pPr>
      <w:pBdr>
        <w:top w:val="single" w:sz="4" w:space="0" w:color="auto"/>
        <w:left w:val="single" w:sz="8" w:space="0" w:color="auto"/>
        <w:bottom w:val="single" w:sz="4" w:space="0" w:color="auto"/>
        <w:right w:val="single" w:sz="8" w:space="0" w:color="auto"/>
      </w:pBdr>
      <w:shd w:val="clear" w:color="auto" w:fill="CCFFFF"/>
      <w:spacing w:before="100" w:beforeAutospacing="1" w:after="100" w:afterAutospacing="1"/>
    </w:pPr>
  </w:style>
  <w:style w:type="paragraph" w:customStyle="1" w:styleId="xl29">
    <w:name w:val="xl29"/>
    <w:basedOn w:val="Normal"/>
    <w:uiPriority w:val="99"/>
    <w:rsid w:val="007B53F3"/>
    <w:pPr>
      <w:pBdr>
        <w:top w:val="single" w:sz="4" w:space="0" w:color="auto"/>
        <w:left w:val="single" w:sz="8" w:space="0" w:color="auto"/>
        <w:right w:val="single" w:sz="8" w:space="0" w:color="auto"/>
      </w:pBdr>
      <w:shd w:val="clear" w:color="auto" w:fill="CCFFFF"/>
      <w:spacing w:before="100" w:beforeAutospacing="1" w:after="100" w:afterAutospacing="1"/>
    </w:pPr>
  </w:style>
  <w:style w:type="paragraph" w:customStyle="1" w:styleId="xl30">
    <w:name w:val="xl30"/>
    <w:basedOn w:val="Normal"/>
    <w:uiPriority w:val="99"/>
    <w:rsid w:val="007B53F3"/>
    <w:pPr>
      <w:pBdr>
        <w:top w:val="single" w:sz="4" w:space="0" w:color="auto"/>
        <w:left w:val="single" w:sz="8" w:space="0" w:color="auto"/>
        <w:bottom w:val="single" w:sz="8" w:space="0" w:color="auto"/>
        <w:right w:val="single" w:sz="8" w:space="0" w:color="auto"/>
      </w:pBdr>
      <w:shd w:val="clear" w:color="auto" w:fill="CCFFFF"/>
      <w:spacing w:before="100" w:beforeAutospacing="1" w:after="100" w:afterAutospacing="1"/>
    </w:pPr>
  </w:style>
  <w:style w:type="paragraph" w:customStyle="1" w:styleId="xl31">
    <w:name w:val="xl31"/>
    <w:basedOn w:val="Normal"/>
    <w:uiPriority w:val="99"/>
    <w:rsid w:val="007B53F3"/>
    <w:pPr>
      <w:pBdr>
        <w:left w:val="single" w:sz="8" w:space="0" w:color="auto"/>
        <w:bottom w:val="single" w:sz="4" w:space="0" w:color="auto"/>
        <w:right w:val="single" w:sz="8" w:space="0" w:color="auto"/>
      </w:pBdr>
      <w:shd w:val="clear" w:color="auto" w:fill="CCFFFF"/>
      <w:spacing w:before="100" w:beforeAutospacing="1" w:after="100" w:afterAutospacing="1"/>
    </w:pPr>
  </w:style>
  <w:style w:type="paragraph" w:customStyle="1" w:styleId="xl32">
    <w:name w:val="xl32"/>
    <w:basedOn w:val="Normal"/>
    <w:uiPriority w:val="99"/>
    <w:rsid w:val="007B53F3"/>
    <w:pPr>
      <w:pBdr>
        <w:top w:val="single" w:sz="4" w:space="0" w:color="auto"/>
        <w:bottom w:val="single" w:sz="4" w:space="0" w:color="auto"/>
      </w:pBdr>
      <w:shd w:val="clear" w:color="auto" w:fill="CCFFFF"/>
      <w:spacing w:before="100" w:beforeAutospacing="1" w:after="100" w:afterAutospacing="1"/>
    </w:pPr>
  </w:style>
  <w:style w:type="paragraph" w:customStyle="1" w:styleId="xl33">
    <w:name w:val="xl33"/>
    <w:basedOn w:val="Normal"/>
    <w:uiPriority w:val="99"/>
    <w:rsid w:val="007B53F3"/>
    <w:pPr>
      <w:pBdr>
        <w:top w:val="single" w:sz="4" w:space="0" w:color="auto"/>
      </w:pBdr>
      <w:shd w:val="clear" w:color="auto" w:fill="CCFFFF"/>
      <w:spacing w:before="100" w:beforeAutospacing="1" w:after="100" w:afterAutospacing="1"/>
    </w:pPr>
  </w:style>
  <w:style w:type="paragraph" w:customStyle="1" w:styleId="xl34">
    <w:name w:val="xl34"/>
    <w:basedOn w:val="Normal"/>
    <w:uiPriority w:val="99"/>
    <w:rsid w:val="007B53F3"/>
    <w:pPr>
      <w:pBdr>
        <w:top w:val="single" w:sz="8" w:space="0" w:color="auto"/>
        <w:bottom w:val="single" w:sz="4" w:space="0" w:color="auto"/>
      </w:pBdr>
      <w:shd w:val="clear" w:color="auto" w:fill="CCFFFF"/>
      <w:spacing w:before="100" w:beforeAutospacing="1" w:after="100" w:afterAutospacing="1"/>
    </w:pPr>
  </w:style>
  <w:style w:type="paragraph" w:customStyle="1" w:styleId="xl35">
    <w:name w:val="xl35"/>
    <w:basedOn w:val="Normal"/>
    <w:uiPriority w:val="99"/>
    <w:rsid w:val="007B53F3"/>
    <w:pPr>
      <w:pBdr>
        <w:top w:val="single" w:sz="4" w:space="0" w:color="auto"/>
        <w:bottom w:val="single" w:sz="8" w:space="0" w:color="auto"/>
      </w:pBdr>
      <w:shd w:val="clear" w:color="auto" w:fill="CCFFFF"/>
      <w:spacing w:before="100" w:beforeAutospacing="1" w:after="100" w:afterAutospacing="1"/>
    </w:pPr>
  </w:style>
  <w:style w:type="paragraph" w:customStyle="1" w:styleId="xl36">
    <w:name w:val="xl36"/>
    <w:basedOn w:val="Normal"/>
    <w:uiPriority w:val="99"/>
    <w:rsid w:val="007B53F3"/>
    <w:pPr>
      <w:pBdr>
        <w:bottom w:val="single" w:sz="4" w:space="0" w:color="auto"/>
      </w:pBdr>
      <w:shd w:val="clear" w:color="auto" w:fill="CCFFFF"/>
      <w:spacing w:before="100" w:beforeAutospacing="1" w:after="100" w:afterAutospacing="1"/>
    </w:pPr>
  </w:style>
  <w:style w:type="paragraph" w:customStyle="1" w:styleId="xl37">
    <w:name w:val="xl37"/>
    <w:basedOn w:val="Normal"/>
    <w:uiPriority w:val="99"/>
    <w:rsid w:val="007B53F3"/>
    <w:pPr>
      <w:pBdr>
        <w:bottom w:val="single" w:sz="8" w:space="0" w:color="auto"/>
      </w:pBdr>
      <w:shd w:val="clear" w:color="auto" w:fill="00FF00"/>
      <w:spacing w:before="100" w:beforeAutospacing="1" w:after="100" w:afterAutospacing="1"/>
    </w:pPr>
    <w:rPr>
      <w:rFonts w:ascii="Arial" w:hAnsi="Arial" w:cs="Arial"/>
      <w:b/>
      <w:bCs/>
    </w:rPr>
  </w:style>
  <w:style w:type="character" w:styleId="Emphasis">
    <w:name w:val="Emphasis"/>
    <w:basedOn w:val="DefaultParagraphFont"/>
    <w:uiPriority w:val="99"/>
    <w:qFormat/>
    <w:rsid w:val="007B53F3"/>
    <w:rPr>
      <w:rFonts w:cs="Times New Roman"/>
      <w:i/>
    </w:rPr>
  </w:style>
  <w:style w:type="paragraph" w:customStyle="1" w:styleId="atekstpodstawowyzwcieciem">
    <w:name w:val="atekstpodstawowyzwcieciem"/>
    <w:basedOn w:val="Normal"/>
    <w:uiPriority w:val="99"/>
    <w:rsid w:val="007B53F3"/>
    <w:pPr>
      <w:autoSpaceDE w:val="0"/>
      <w:autoSpaceDN w:val="0"/>
      <w:spacing w:before="120"/>
    </w:pPr>
  </w:style>
  <w:style w:type="paragraph" w:customStyle="1" w:styleId="pauza0">
    <w:name w:val="pauza0"/>
    <w:basedOn w:val="Normal"/>
    <w:uiPriority w:val="99"/>
    <w:rsid w:val="007B53F3"/>
    <w:pPr>
      <w:autoSpaceDE w:val="0"/>
      <w:autoSpaceDN w:val="0"/>
    </w:pPr>
  </w:style>
  <w:style w:type="paragraph" w:customStyle="1" w:styleId="ATEKSTPODSTAWOWYZWCIECIEM0">
    <w:name w:val="A TEKST PODSTAWOWY Z WCIECIEM"/>
    <w:basedOn w:val="Default"/>
    <w:next w:val="Default"/>
    <w:uiPriority w:val="99"/>
    <w:rsid w:val="007B53F3"/>
    <w:pPr>
      <w:spacing w:before="120"/>
    </w:pPr>
    <w:rPr>
      <w:rFonts w:ascii="Times New Roman" w:hAnsi="Times New Roman" w:cs="Times New Roman"/>
      <w:color w:val="auto"/>
    </w:rPr>
  </w:style>
  <w:style w:type="paragraph" w:customStyle="1" w:styleId="-PauzapoT">
    <w:name w:val="- Pauza po 'T'"/>
    <w:basedOn w:val="Default"/>
    <w:next w:val="Default"/>
    <w:uiPriority w:val="99"/>
    <w:rsid w:val="007B53F3"/>
    <w:rPr>
      <w:rFonts w:ascii="Times New Roman" w:hAnsi="Times New Roman" w:cs="Times New Roman"/>
      <w:color w:val="auto"/>
    </w:rPr>
  </w:style>
  <w:style w:type="paragraph" w:customStyle="1" w:styleId="pauza00">
    <w:name w:val="pauza 0"/>
    <w:basedOn w:val="Default"/>
    <w:next w:val="Default"/>
    <w:uiPriority w:val="99"/>
    <w:rsid w:val="007B53F3"/>
    <w:rPr>
      <w:rFonts w:ascii="Times New Roman" w:hAnsi="Times New Roman" w:cs="Times New Roman"/>
      <w:color w:val="auto"/>
    </w:rPr>
  </w:style>
  <w:style w:type="paragraph" w:customStyle="1" w:styleId="Normalny1">
    <w:name w:val="Normalny1"/>
    <w:basedOn w:val="Normal"/>
    <w:uiPriority w:val="99"/>
    <w:rsid w:val="007B53F3"/>
    <w:pPr>
      <w:spacing w:before="100" w:beforeAutospacing="1" w:after="100" w:afterAutospacing="1"/>
    </w:pPr>
    <w:rPr>
      <w:color w:val="000000"/>
    </w:rPr>
  </w:style>
  <w:style w:type="paragraph" w:styleId="BodyText2">
    <w:name w:val="Body Text 2"/>
    <w:basedOn w:val="Normal"/>
    <w:link w:val="BodyText2Char"/>
    <w:uiPriority w:val="99"/>
    <w:rsid w:val="007B53F3"/>
    <w:pPr>
      <w:spacing w:after="120" w:line="480" w:lineRule="auto"/>
    </w:pPr>
  </w:style>
  <w:style w:type="character" w:customStyle="1" w:styleId="BodyText2Char">
    <w:name w:val="Body Text 2 Char"/>
    <w:basedOn w:val="DefaultParagraphFont"/>
    <w:link w:val="BodyText2"/>
    <w:uiPriority w:val="99"/>
    <w:locked/>
    <w:rsid w:val="007B53F3"/>
    <w:rPr>
      <w:sz w:val="24"/>
    </w:rPr>
  </w:style>
  <w:style w:type="paragraph" w:customStyle="1" w:styleId="TabellenText">
    <w:name w:val="Tabellen Text"/>
    <w:uiPriority w:val="99"/>
    <w:rsid w:val="007B53F3"/>
    <w:pPr>
      <w:spacing w:before="60"/>
      <w:jc w:val="both"/>
    </w:pPr>
    <w:rPr>
      <w:rFonts w:ascii="Arial" w:hAnsi="Arial" w:cs="Arial"/>
      <w:color w:val="000000"/>
      <w:sz w:val="20"/>
      <w:szCs w:val="20"/>
      <w:lang w:val="de-DE"/>
    </w:rPr>
  </w:style>
  <w:style w:type="paragraph" w:styleId="TOC2">
    <w:name w:val="toc 2"/>
    <w:basedOn w:val="Normal"/>
    <w:next w:val="Normal"/>
    <w:autoRedefine/>
    <w:uiPriority w:val="99"/>
    <w:rsid w:val="006A6337"/>
    <w:pPr>
      <w:tabs>
        <w:tab w:val="left" w:pos="426"/>
        <w:tab w:val="right" w:leader="dot" w:pos="9062"/>
      </w:tabs>
    </w:pPr>
    <w:rPr>
      <w:noProof/>
    </w:rPr>
  </w:style>
  <w:style w:type="paragraph" w:styleId="PlainText">
    <w:name w:val="Plain Text"/>
    <w:basedOn w:val="Normal"/>
    <w:link w:val="PlainTextChar"/>
    <w:uiPriority w:val="99"/>
    <w:rsid w:val="007B53F3"/>
    <w:rPr>
      <w:rFonts w:ascii="Courier New" w:hAnsi="Courier New" w:cs="Courier New"/>
      <w:sz w:val="20"/>
      <w:szCs w:val="20"/>
    </w:rPr>
  </w:style>
  <w:style w:type="character" w:customStyle="1" w:styleId="PlainTextChar">
    <w:name w:val="Plain Text Char"/>
    <w:basedOn w:val="DefaultParagraphFont"/>
    <w:link w:val="PlainText"/>
    <w:uiPriority w:val="99"/>
    <w:locked/>
    <w:rsid w:val="007B53F3"/>
    <w:rPr>
      <w:rFonts w:ascii="Courier New" w:hAnsi="Courier New"/>
    </w:rPr>
  </w:style>
  <w:style w:type="paragraph" w:styleId="EndnoteText">
    <w:name w:val="endnote text"/>
    <w:basedOn w:val="Normal"/>
    <w:link w:val="EndnoteTextChar"/>
    <w:uiPriority w:val="99"/>
    <w:rsid w:val="007B53F3"/>
    <w:rPr>
      <w:sz w:val="20"/>
      <w:szCs w:val="20"/>
    </w:rPr>
  </w:style>
  <w:style w:type="character" w:customStyle="1" w:styleId="EndnoteTextChar">
    <w:name w:val="Endnote Text Char"/>
    <w:basedOn w:val="DefaultParagraphFont"/>
    <w:link w:val="EndnoteText"/>
    <w:uiPriority w:val="99"/>
    <w:locked/>
    <w:rsid w:val="007B53F3"/>
  </w:style>
  <w:style w:type="paragraph" w:styleId="z-TopofForm">
    <w:name w:val="HTML Top of Form"/>
    <w:basedOn w:val="Normal"/>
    <w:next w:val="Normal"/>
    <w:link w:val="z-TopofFormChar"/>
    <w:hidden/>
    <w:uiPriority w:val="99"/>
    <w:rsid w:val="007B53F3"/>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locked/>
    <w:rsid w:val="007B53F3"/>
    <w:rPr>
      <w:rFonts w:ascii="Arial" w:hAnsi="Arial"/>
      <w:vanish/>
      <w:sz w:val="16"/>
    </w:rPr>
  </w:style>
  <w:style w:type="paragraph" w:styleId="z-BottomofForm">
    <w:name w:val="HTML Bottom of Form"/>
    <w:basedOn w:val="Normal"/>
    <w:next w:val="Normal"/>
    <w:link w:val="z-BottomofFormChar"/>
    <w:hidden/>
    <w:uiPriority w:val="99"/>
    <w:rsid w:val="007B53F3"/>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locked/>
    <w:rsid w:val="007B53F3"/>
    <w:rPr>
      <w:rFonts w:ascii="Arial" w:hAnsi="Arial"/>
      <w:vanish/>
      <w:sz w:val="16"/>
    </w:rPr>
  </w:style>
  <w:style w:type="paragraph" w:customStyle="1" w:styleId="tekstkoncowy">
    <w:name w:val="tekst_koncowy"/>
    <w:basedOn w:val="Normal"/>
    <w:uiPriority w:val="99"/>
    <w:rsid w:val="007B53F3"/>
    <w:pPr>
      <w:spacing w:line="360" w:lineRule="atLeast"/>
      <w:jc w:val="both"/>
    </w:pPr>
    <w:rPr>
      <w:rFonts w:ascii="Arial" w:hAnsi="Arial"/>
      <w:lang w:val="en-GB"/>
    </w:rPr>
  </w:style>
  <w:style w:type="paragraph" w:styleId="BodyTextIndent">
    <w:name w:val="Body Text Indent"/>
    <w:basedOn w:val="Normal"/>
    <w:link w:val="BodyTextIndentChar"/>
    <w:uiPriority w:val="99"/>
    <w:rsid w:val="007B53F3"/>
    <w:pPr>
      <w:spacing w:after="120"/>
      <w:ind w:left="283"/>
    </w:pPr>
  </w:style>
  <w:style w:type="character" w:customStyle="1" w:styleId="BodyTextIndentChar">
    <w:name w:val="Body Text Indent Char"/>
    <w:basedOn w:val="DefaultParagraphFont"/>
    <w:link w:val="BodyTextIndent"/>
    <w:uiPriority w:val="99"/>
    <w:locked/>
    <w:rsid w:val="007B53F3"/>
    <w:rPr>
      <w:sz w:val="24"/>
    </w:rPr>
  </w:style>
  <w:style w:type="character" w:customStyle="1" w:styleId="a">
    <w:name w:val="a"/>
    <w:uiPriority w:val="99"/>
    <w:rsid w:val="007B53F3"/>
  </w:style>
  <w:style w:type="paragraph" w:customStyle="1" w:styleId="Tabela">
    <w:name w:val="Tabela"/>
    <w:basedOn w:val="Normal"/>
    <w:autoRedefine/>
    <w:uiPriority w:val="99"/>
    <w:rsid w:val="007B53F3"/>
    <w:pPr>
      <w:spacing w:line="360" w:lineRule="auto"/>
      <w:jc w:val="center"/>
    </w:pPr>
    <w:rPr>
      <w:color w:val="000000"/>
      <w:sz w:val="20"/>
      <w:szCs w:val="20"/>
    </w:rPr>
  </w:style>
  <w:style w:type="paragraph" w:customStyle="1" w:styleId="Standardowy1">
    <w:name w:val="Standardowy1"/>
    <w:uiPriority w:val="99"/>
    <w:rsid w:val="007B53F3"/>
    <w:pPr>
      <w:overflowPunct w:val="0"/>
      <w:autoSpaceDE w:val="0"/>
      <w:autoSpaceDN w:val="0"/>
      <w:adjustRightInd w:val="0"/>
      <w:textAlignment w:val="baseline"/>
    </w:pPr>
    <w:rPr>
      <w:sz w:val="20"/>
      <w:szCs w:val="20"/>
    </w:rPr>
  </w:style>
  <w:style w:type="paragraph" w:customStyle="1" w:styleId="Tekst4">
    <w:name w:val="Tekst 4"/>
    <w:basedOn w:val="Heading4"/>
    <w:uiPriority w:val="99"/>
    <w:rsid w:val="007B53F3"/>
    <w:pPr>
      <w:keepNext w:val="0"/>
      <w:numPr>
        <w:ilvl w:val="3"/>
      </w:numPr>
      <w:tabs>
        <w:tab w:val="left" w:pos="1474"/>
      </w:tabs>
      <w:spacing w:before="0" w:after="0"/>
      <w:ind w:left="510" w:firstLine="567"/>
      <w:jc w:val="both"/>
    </w:pPr>
    <w:rPr>
      <w:rFonts w:ascii="Arial" w:hAnsi="Arial"/>
      <w:b w:val="0"/>
      <w:sz w:val="20"/>
    </w:rPr>
  </w:style>
  <w:style w:type="paragraph" w:customStyle="1" w:styleId="Wypunktowanie">
    <w:name w:val="Wypunktowanie"/>
    <w:basedOn w:val="Normal"/>
    <w:uiPriority w:val="99"/>
    <w:rsid w:val="007B53F3"/>
    <w:pPr>
      <w:tabs>
        <w:tab w:val="num" w:pos="227"/>
        <w:tab w:val="left" w:pos="794"/>
        <w:tab w:val="num" w:pos="900"/>
      </w:tabs>
      <w:ind w:left="1248" w:hanging="227"/>
      <w:jc w:val="both"/>
      <w:outlineLvl w:val="1"/>
    </w:pPr>
    <w:rPr>
      <w:rFonts w:ascii="Arial" w:hAnsi="Arial" w:cs="Arial"/>
      <w:bCs/>
      <w:iCs/>
      <w:sz w:val="20"/>
      <w:szCs w:val="28"/>
    </w:rPr>
  </w:style>
  <w:style w:type="paragraph" w:styleId="TOC4">
    <w:name w:val="toc 4"/>
    <w:basedOn w:val="Normal"/>
    <w:next w:val="Normal"/>
    <w:autoRedefine/>
    <w:uiPriority w:val="99"/>
    <w:rsid w:val="007B53F3"/>
    <w:pPr>
      <w:ind w:left="720"/>
    </w:pPr>
  </w:style>
  <w:style w:type="paragraph" w:customStyle="1" w:styleId="StylArial11ptWyjustowanyPierwszywiersz125cmInterli">
    <w:name w:val="Styl Arial 11 pt Wyjustowany Pierwszy wiersz:  125 cm Interli..."/>
    <w:basedOn w:val="Normal"/>
    <w:uiPriority w:val="99"/>
    <w:rsid w:val="007B53F3"/>
    <w:pPr>
      <w:spacing w:line="360" w:lineRule="auto"/>
      <w:ind w:firstLine="708"/>
      <w:jc w:val="both"/>
    </w:pPr>
    <w:rPr>
      <w:rFonts w:ascii="Arial" w:hAnsi="Arial"/>
      <w:sz w:val="22"/>
      <w:szCs w:val="20"/>
    </w:rPr>
  </w:style>
  <w:style w:type="paragraph" w:customStyle="1" w:styleId="arialblok">
    <w:name w:val="arial blok"/>
    <w:basedOn w:val="Normal"/>
    <w:uiPriority w:val="99"/>
    <w:rsid w:val="007B53F3"/>
    <w:pPr>
      <w:spacing w:line="300" w:lineRule="auto"/>
      <w:jc w:val="both"/>
    </w:pPr>
    <w:rPr>
      <w:rFonts w:ascii="Arial" w:hAnsi="Arial"/>
      <w:sz w:val="22"/>
      <w:szCs w:val="20"/>
    </w:rPr>
  </w:style>
  <w:style w:type="paragraph" w:customStyle="1" w:styleId="Normalny11">
    <w:name w:val="Normalny11"/>
    <w:basedOn w:val="Normal"/>
    <w:uiPriority w:val="99"/>
    <w:rsid w:val="007B53F3"/>
    <w:pPr>
      <w:widowControl w:val="0"/>
      <w:suppressAutoHyphens/>
      <w:spacing w:line="360" w:lineRule="auto"/>
    </w:pPr>
    <w:rPr>
      <w:color w:val="000000"/>
    </w:rPr>
  </w:style>
  <w:style w:type="paragraph" w:customStyle="1" w:styleId="NA">
    <w:name w:val="N/A"/>
    <w:basedOn w:val="Normalny11"/>
    <w:uiPriority w:val="99"/>
    <w:rsid w:val="007B53F3"/>
    <w:pPr>
      <w:tabs>
        <w:tab w:val="left" w:pos="9000"/>
        <w:tab w:val="right" w:pos="9360"/>
      </w:tabs>
      <w:jc w:val="both"/>
    </w:pPr>
    <w:rPr>
      <w:rFonts w:ascii="Arial" w:hAnsi="Arial"/>
      <w:lang w:val="en-US"/>
    </w:rPr>
  </w:style>
  <w:style w:type="paragraph" w:customStyle="1" w:styleId="pauza">
    <w:name w:val="pauza"/>
    <w:basedOn w:val="Normalny11"/>
    <w:uiPriority w:val="99"/>
    <w:rsid w:val="007B53F3"/>
    <w:pPr>
      <w:ind w:left="567" w:hanging="567"/>
    </w:pPr>
  </w:style>
  <w:style w:type="paragraph" w:customStyle="1" w:styleId="Nagwek1">
    <w:name w:val="Nagłówek1"/>
    <w:basedOn w:val="Normal"/>
    <w:uiPriority w:val="99"/>
    <w:rsid w:val="007B53F3"/>
    <w:pPr>
      <w:tabs>
        <w:tab w:val="center" w:pos="4536"/>
        <w:tab w:val="right" w:pos="9072"/>
      </w:tabs>
      <w:suppressAutoHyphens/>
      <w:spacing w:line="360" w:lineRule="auto"/>
    </w:pPr>
    <w:rPr>
      <w:color w:val="000000"/>
    </w:rPr>
  </w:style>
  <w:style w:type="paragraph" w:customStyle="1" w:styleId="TableContents">
    <w:name w:val="Table Contents"/>
    <w:basedOn w:val="BodyText"/>
    <w:uiPriority w:val="99"/>
    <w:rsid w:val="007B53F3"/>
    <w:pPr>
      <w:suppressLineNumbers/>
      <w:suppressAutoHyphens/>
      <w:spacing w:after="0" w:line="360" w:lineRule="auto"/>
    </w:pPr>
    <w:rPr>
      <w:b/>
      <w:color w:val="000000"/>
    </w:rPr>
  </w:style>
  <w:style w:type="paragraph" w:customStyle="1" w:styleId="Tytutabeli">
    <w:name w:val="Tytuł tabeli"/>
    <w:basedOn w:val="Normal"/>
    <w:uiPriority w:val="99"/>
    <w:rsid w:val="007B53F3"/>
    <w:pPr>
      <w:widowControl w:val="0"/>
      <w:autoSpaceDE w:val="0"/>
      <w:autoSpaceDN w:val="0"/>
      <w:adjustRightInd w:val="0"/>
      <w:spacing w:after="120"/>
      <w:jc w:val="center"/>
    </w:pPr>
    <w:rPr>
      <w:b/>
      <w:bCs/>
      <w:i/>
      <w:iCs/>
    </w:rPr>
  </w:style>
  <w:style w:type="paragraph" w:customStyle="1" w:styleId="astrzaa">
    <w:name w:val="astrzała"/>
    <w:basedOn w:val="Normal"/>
    <w:uiPriority w:val="99"/>
    <w:rsid w:val="007B53F3"/>
    <w:pPr>
      <w:numPr>
        <w:numId w:val="10"/>
      </w:numPr>
      <w:tabs>
        <w:tab w:val="clear" w:pos="360"/>
        <w:tab w:val="num" w:pos="1276"/>
      </w:tabs>
      <w:spacing w:line="300" w:lineRule="auto"/>
      <w:ind w:left="1276" w:hanging="425"/>
    </w:pPr>
    <w:rPr>
      <w:rFonts w:ascii="Tahoma" w:hAnsi="Tahoma"/>
      <w:sz w:val="22"/>
      <w:szCs w:val="20"/>
    </w:rPr>
  </w:style>
  <w:style w:type="paragraph" w:customStyle="1" w:styleId="punkty">
    <w:name w:val="punkty"/>
    <w:basedOn w:val="Normal"/>
    <w:uiPriority w:val="99"/>
    <w:rsid w:val="007B53F3"/>
    <w:pPr>
      <w:numPr>
        <w:numId w:val="11"/>
      </w:numPr>
    </w:pPr>
    <w:rPr>
      <w:sz w:val="20"/>
      <w:szCs w:val="20"/>
    </w:rPr>
  </w:style>
  <w:style w:type="paragraph" w:customStyle="1" w:styleId="MPUTekst">
    <w:name w:val="MPU Tekst"/>
    <w:basedOn w:val="BodyText"/>
    <w:next w:val="Normal"/>
    <w:uiPriority w:val="99"/>
    <w:rsid w:val="007B53F3"/>
    <w:pPr>
      <w:spacing w:after="0" w:line="360" w:lineRule="auto"/>
      <w:ind w:left="357"/>
      <w:jc w:val="both"/>
    </w:pPr>
    <w:rPr>
      <w:rFonts w:ascii="Arial" w:hAnsi="Arial" w:cs="Arial"/>
      <w:sz w:val="20"/>
    </w:rPr>
  </w:style>
  <w:style w:type="paragraph" w:styleId="BodyTextIndent3">
    <w:name w:val="Body Text Indent 3"/>
    <w:basedOn w:val="Normal"/>
    <w:link w:val="BodyTextIndent3Char"/>
    <w:uiPriority w:val="99"/>
    <w:rsid w:val="007B53F3"/>
    <w:pPr>
      <w:spacing w:after="120"/>
      <w:ind w:left="283"/>
    </w:pPr>
    <w:rPr>
      <w:sz w:val="16"/>
      <w:szCs w:val="16"/>
    </w:rPr>
  </w:style>
  <w:style w:type="character" w:customStyle="1" w:styleId="BodyTextIndent3Char">
    <w:name w:val="Body Text Indent 3 Char"/>
    <w:basedOn w:val="DefaultParagraphFont"/>
    <w:link w:val="BodyTextIndent3"/>
    <w:uiPriority w:val="99"/>
    <w:locked/>
    <w:rsid w:val="007B53F3"/>
    <w:rPr>
      <w:sz w:val="16"/>
    </w:rPr>
  </w:style>
  <w:style w:type="paragraph" w:customStyle="1" w:styleId="ADnumeracjakasadowa">
    <w:name w:val="AD numeracja kasadowa"/>
    <w:basedOn w:val="Normal"/>
    <w:uiPriority w:val="99"/>
    <w:rsid w:val="007B53F3"/>
    <w:pPr>
      <w:tabs>
        <w:tab w:val="num" w:pos="2160"/>
      </w:tabs>
      <w:spacing w:line="360" w:lineRule="auto"/>
      <w:ind w:left="2160" w:hanging="360"/>
      <w:jc w:val="both"/>
      <w:outlineLvl w:val="0"/>
    </w:pPr>
    <w:rPr>
      <w:rFonts w:ascii="Arial" w:hAnsi="Arial"/>
      <w:sz w:val="20"/>
      <w:szCs w:val="20"/>
    </w:rPr>
  </w:style>
  <w:style w:type="paragraph" w:customStyle="1" w:styleId="1ustp">
    <w:name w:val="1. ustęp"/>
    <w:basedOn w:val="Normal"/>
    <w:uiPriority w:val="99"/>
    <w:rsid w:val="007B53F3"/>
    <w:pPr>
      <w:keepLines/>
      <w:tabs>
        <w:tab w:val="left" w:pos="567"/>
        <w:tab w:val="left" w:pos="1134"/>
        <w:tab w:val="left" w:pos="1701"/>
        <w:tab w:val="left" w:pos="2268"/>
        <w:tab w:val="left" w:pos="2835"/>
        <w:tab w:val="left" w:pos="3402"/>
        <w:tab w:val="left" w:pos="3969"/>
      </w:tabs>
      <w:spacing w:line="360" w:lineRule="auto"/>
      <w:jc w:val="both"/>
    </w:pPr>
    <w:rPr>
      <w:rFonts w:ascii="Arial" w:hAnsi="Arial"/>
      <w:sz w:val="20"/>
      <w:szCs w:val="20"/>
    </w:rPr>
  </w:style>
  <w:style w:type="paragraph" w:styleId="BodyTextIndent2">
    <w:name w:val="Body Text Indent 2"/>
    <w:basedOn w:val="Normal"/>
    <w:link w:val="BodyTextIndent2Char"/>
    <w:uiPriority w:val="99"/>
    <w:rsid w:val="007B53F3"/>
    <w:pPr>
      <w:spacing w:after="120" w:line="480" w:lineRule="auto"/>
      <w:ind w:left="283"/>
    </w:pPr>
  </w:style>
  <w:style w:type="character" w:customStyle="1" w:styleId="BodyTextIndent2Char">
    <w:name w:val="Body Text Indent 2 Char"/>
    <w:basedOn w:val="DefaultParagraphFont"/>
    <w:link w:val="BodyTextIndent2"/>
    <w:uiPriority w:val="99"/>
    <w:locked/>
    <w:rsid w:val="007B53F3"/>
    <w:rPr>
      <w:sz w:val="24"/>
    </w:rPr>
  </w:style>
  <w:style w:type="table" w:customStyle="1" w:styleId="stylpowiatkrakowski">
    <w:name w:val="styl powiat krakowski"/>
    <w:uiPriority w:val="99"/>
    <w:rsid w:val="007B53F3"/>
    <w:rPr>
      <w:sz w:val="20"/>
      <w:szCs w:val="20"/>
    </w:rPr>
    <w:tblPr>
      <w:tblBorders>
        <w:top w:val="double" w:sz="4" w:space="0" w:color="auto"/>
        <w:left w:val="double" w:sz="4" w:space="0" w:color="auto"/>
        <w:bottom w:val="double" w:sz="4" w:space="0" w:color="auto"/>
        <w:right w:val="double" w:sz="4" w:space="0" w:color="auto"/>
        <w:insideH w:val="single" w:sz="8" w:space="0" w:color="auto"/>
        <w:insideV w:val="single" w:sz="8" w:space="0" w:color="auto"/>
      </w:tblBorders>
      <w:tblCellMar>
        <w:top w:w="0" w:type="dxa"/>
        <w:left w:w="108" w:type="dxa"/>
        <w:bottom w:w="0" w:type="dxa"/>
        <w:right w:w="108" w:type="dxa"/>
      </w:tblCellMar>
    </w:tblPr>
  </w:style>
  <w:style w:type="paragraph" w:styleId="TableofFigures">
    <w:name w:val="table of figures"/>
    <w:aliases w:val="spis rys Kra"/>
    <w:basedOn w:val="normalKra"/>
    <w:next w:val="normalKra"/>
    <w:uiPriority w:val="99"/>
    <w:rsid w:val="006A3D72"/>
    <w:rPr>
      <w:sz w:val="18"/>
    </w:rPr>
  </w:style>
  <w:style w:type="paragraph" w:customStyle="1" w:styleId="punktor">
    <w:name w:val="_punktor"/>
    <w:basedOn w:val="Normal"/>
    <w:uiPriority w:val="99"/>
    <w:rsid w:val="007B53F3"/>
    <w:pPr>
      <w:numPr>
        <w:numId w:val="13"/>
      </w:numPr>
      <w:autoSpaceDE w:val="0"/>
      <w:autoSpaceDN w:val="0"/>
      <w:adjustRightInd w:val="0"/>
      <w:spacing w:after="120" w:line="360" w:lineRule="auto"/>
      <w:jc w:val="both"/>
    </w:pPr>
    <w:rPr>
      <w:rFonts w:ascii="Arial" w:hAnsi="Arial"/>
    </w:rPr>
  </w:style>
  <w:style w:type="paragraph" w:customStyle="1" w:styleId="punktor10">
    <w:name w:val="_punktor10"/>
    <w:basedOn w:val="punktor"/>
    <w:uiPriority w:val="99"/>
    <w:rsid w:val="007B53F3"/>
    <w:pPr>
      <w:spacing w:after="80" w:line="240" w:lineRule="auto"/>
    </w:pPr>
    <w:rPr>
      <w:sz w:val="20"/>
    </w:rPr>
  </w:style>
  <w:style w:type="paragraph" w:customStyle="1" w:styleId="StylNagwekArial10ptPo6pt">
    <w:name w:val="Styl Nagłówek + Arial 10 pt Po:  6 pt"/>
    <w:basedOn w:val="Header"/>
    <w:uiPriority w:val="99"/>
    <w:rsid w:val="007B53F3"/>
    <w:pPr>
      <w:spacing w:before="20" w:after="60"/>
    </w:pPr>
    <w:rPr>
      <w:rFonts w:ascii="Arial" w:hAnsi="Arial"/>
      <w:sz w:val="20"/>
      <w:szCs w:val="20"/>
    </w:rPr>
  </w:style>
  <w:style w:type="character" w:customStyle="1" w:styleId="Tekstzastpczy1">
    <w:name w:val="Tekst zastępczy1"/>
    <w:uiPriority w:val="99"/>
    <w:semiHidden/>
    <w:rsid w:val="007B53F3"/>
    <w:rPr>
      <w:color w:val="808080"/>
    </w:rPr>
  </w:style>
  <w:style w:type="paragraph" w:customStyle="1" w:styleId="StylNagwek214ptPogrubienie1">
    <w:name w:val="Styl Nagłówek 2 + 14 pt Pogrubienie1"/>
    <w:basedOn w:val="Heading2"/>
    <w:uiPriority w:val="99"/>
    <w:rsid w:val="007B53F3"/>
    <w:pPr>
      <w:numPr>
        <w:ilvl w:val="1"/>
      </w:numPr>
      <w:ind w:left="576" w:hanging="576"/>
    </w:pPr>
    <w:rPr>
      <w:sz w:val="28"/>
    </w:rPr>
  </w:style>
  <w:style w:type="paragraph" w:customStyle="1" w:styleId="Zawartotabeli">
    <w:name w:val="Zawartość tabeli"/>
    <w:basedOn w:val="Normal"/>
    <w:uiPriority w:val="99"/>
    <w:rsid w:val="007B53F3"/>
    <w:pPr>
      <w:suppressLineNumbers/>
      <w:tabs>
        <w:tab w:val="left" w:pos="567"/>
      </w:tabs>
      <w:suppressAutoHyphens/>
      <w:spacing w:after="120"/>
      <w:jc w:val="both"/>
    </w:pPr>
    <w:rPr>
      <w:rFonts w:ascii="Arial" w:hAnsi="Arial"/>
      <w:sz w:val="22"/>
      <w:szCs w:val="20"/>
      <w:lang w:eastAsia="ar-SA"/>
    </w:rPr>
  </w:style>
  <w:style w:type="paragraph" w:customStyle="1" w:styleId="nagwek2M">
    <w:name w:val="nagłówek 2 M"/>
    <w:basedOn w:val="StylNagwek214ptPogrubienie"/>
    <w:link w:val="nagwek2MZnak"/>
    <w:uiPriority w:val="99"/>
    <w:rsid w:val="007B53F3"/>
  </w:style>
  <w:style w:type="character" w:customStyle="1" w:styleId="nagwek2MZnak">
    <w:name w:val="nagłówek 2 M Znak"/>
    <w:link w:val="nagwek2M"/>
    <w:uiPriority w:val="99"/>
    <w:locked/>
    <w:rsid w:val="007B53F3"/>
    <w:rPr>
      <w:rFonts w:ascii="Trebuchet MS" w:hAnsi="Trebuchet MS"/>
      <w:b/>
      <w:i/>
      <w:caps/>
      <w:sz w:val="24"/>
    </w:rPr>
  </w:style>
  <w:style w:type="paragraph" w:customStyle="1" w:styleId="normalBP0">
    <w:name w:val="normal_BP"/>
    <w:basedOn w:val="Normal"/>
    <w:link w:val="normalBPZnak0"/>
    <w:uiPriority w:val="99"/>
    <w:rsid w:val="007B53F3"/>
    <w:pPr>
      <w:widowControl w:val="0"/>
      <w:autoSpaceDE w:val="0"/>
      <w:autoSpaceDN w:val="0"/>
      <w:adjustRightInd w:val="0"/>
      <w:spacing w:line="276" w:lineRule="auto"/>
      <w:jc w:val="both"/>
    </w:pPr>
    <w:rPr>
      <w:sz w:val="22"/>
      <w:szCs w:val="22"/>
    </w:rPr>
  </w:style>
  <w:style w:type="paragraph" w:customStyle="1" w:styleId="nag3BP">
    <w:name w:val="nagł 3_BP"/>
    <w:basedOn w:val="Heading3"/>
    <w:link w:val="nag3BPZnak"/>
    <w:uiPriority w:val="99"/>
    <w:rsid w:val="007B53F3"/>
    <w:pPr>
      <w:numPr>
        <w:ilvl w:val="2"/>
      </w:numPr>
      <w:ind w:left="2280" w:hanging="720"/>
    </w:pPr>
    <w:rPr>
      <w:rFonts w:ascii="Times New Roman" w:hAnsi="Times New Roman" w:cs="Times New Roman"/>
    </w:rPr>
  </w:style>
  <w:style w:type="character" w:customStyle="1" w:styleId="normalBPZnak0">
    <w:name w:val="normal_BP Znak"/>
    <w:link w:val="normalBP0"/>
    <w:uiPriority w:val="99"/>
    <w:locked/>
    <w:rsid w:val="007B53F3"/>
    <w:rPr>
      <w:sz w:val="22"/>
    </w:rPr>
  </w:style>
  <w:style w:type="character" w:customStyle="1" w:styleId="nag3BPZnak">
    <w:name w:val="nagł 3_BP Znak"/>
    <w:link w:val="nag3BP"/>
    <w:uiPriority w:val="99"/>
    <w:locked/>
    <w:rsid w:val="007B53F3"/>
    <w:rPr>
      <w:rFonts w:ascii="Arial" w:hAnsi="Arial"/>
      <w:b/>
      <w:sz w:val="26"/>
    </w:rPr>
  </w:style>
  <w:style w:type="paragraph" w:styleId="ListBullet">
    <w:name w:val="List Bullet"/>
    <w:basedOn w:val="Normal"/>
    <w:link w:val="ListBulletChar"/>
    <w:uiPriority w:val="99"/>
    <w:rsid w:val="007B53F3"/>
  </w:style>
  <w:style w:type="character" w:customStyle="1" w:styleId="ListBulletChar">
    <w:name w:val="List Bullet Char"/>
    <w:link w:val="ListBullet"/>
    <w:uiPriority w:val="99"/>
    <w:locked/>
    <w:rsid w:val="007B53F3"/>
    <w:rPr>
      <w:sz w:val="24"/>
    </w:rPr>
  </w:style>
  <w:style w:type="table" w:styleId="TableClassic3">
    <w:name w:val="Table Classic 3"/>
    <w:basedOn w:val="TableNormal"/>
    <w:uiPriority w:val="99"/>
    <w:rsid w:val="007B53F3"/>
    <w:rPr>
      <w:color w:val="000080"/>
      <w:sz w:val="20"/>
      <w:szCs w:val="2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TableClassic2">
    <w:name w:val="Table Classic 2"/>
    <w:basedOn w:val="TableNormal"/>
    <w:uiPriority w:val="99"/>
    <w:rsid w:val="007B53F3"/>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TableClassic1">
    <w:name w:val="Table Classic 1"/>
    <w:basedOn w:val="TableNormal"/>
    <w:uiPriority w:val="99"/>
    <w:rsid w:val="007B53F3"/>
    <w:rPr>
      <w:sz w:val="20"/>
      <w:szCs w:val="20"/>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TableElegant">
    <w:name w:val="Table Elegant"/>
    <w:basedOn w:val="TableNormal"/>
    <w:uiPriority w:val="99"/>
    <w:rsid w:val="007B53F3"/>
    <w:pPr>
      <w:jc w:val="center"/>
    </w:pPr>
    <w:rPr>
      <w:rFonts w:ascii="Arial" w:hAnsi="Arial"/>
      <w:sz w:val="24"/>
      <w:szCs w:val="20"/>
    </w:rPr>
    <w:tblPr>
      <w:tblInd w:w="0"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paragraph" w:styleId="ListContinue2">
    <w:name w:val="List Continue 2"/>
    <w:basedOn w:val="Normal"/>
    <w:uiPriority w:val="99"/>
    <w:rsid w:val="007B53F3"/>
    <w:pPr>
      <w:spacing w:after="120"/>
      <w:ind w:left="566"/>
    </w:pPr>
  </w:style>
  <w:style w:type="character" w:styleId="EndnoteReference">
    <w:name w:val="endnote reference"/>
    <w:basedOn w:val="DefaultParagraphFont"/>
    <w:uiPriority w:val="99"/>
    <w:rsid w:val="007B53F3"/>
    <w:rPr>
      <w:rFonts w:cs="Times New Roman"/>
      <w:vertAlign w:val="superscript"/>
    </w:rPr>
  </w:style>
  <w:style w:type="paragraph" w:customStyle="1" w:styleId="Styl3">
    <w:name w:val="Styl3"/>
    <w:basedOn w:val="TOC2"/>
    <w:autoRedefine/>
    <w:uiPriority w:val="99"/>
    <w:rsid w:val="007B53F3"/>
    <w:pPr>
      <w:tabs>
        <w:tab w:val="left" w:pos="960"/>
      </w:tabs>
    </w:pPr>
    <w:rPr>
      <w:rFonts w:ascii="Arial" w:hAnsi="Arial"/>
      <w:kern w:val="32"/>
    </w:rPr>
  </w:style>
  <w:style w:type="paragraph" w:customStyle="1" w:styleId="Styl4">
    <w:name w:val="Styl4"/>
    <w:basedOn w:val="TOC2"/>
    <w:autoRedefine/>
    <w:uiPriority w:val="99"/>
    <w:rsid w:val="007B53F3"/>
    <w:pPr>
      <w:tabs>
        <w:tab w:val="left" w:pos="960"/>
      </w:tabs>
    </w:pPr>
    <w:rPr>
      <w:rFonts w:ascii="Arial" w:hAnsi="Arial"/>
      <w:kern w:val="32"/>
    </w:rPr>
  </w:style>
  <w:style w:type="paragraph" w:customStyle="1" w:styleId="font5">
    <w:name w:val="font5"/>
    <w:basedOn w:val="Normal"/>
    <w:uiPriority w:val="99"/>
    <w:rsid w:val="007B53F3"/>
    <w:pPr>
      <w:spacing w:before="100" w:beforeAutospacing="1" w:after="100" w:afterAutospacing="1"/>
    </w:pPr>
    <w:rPr>
      <w:sz w:val="18"/>
      <w:szCs w:val="18"/>
    </w:rPr>
  </w:style>
  <w:style w:type="paragraph" w:customStyle="1" w:styleId="font6">
    <w:name w:val="font6"/>
    <w:basedOn w:val="Normal"/>
    <w:uiPriority w:val="99"/>
    <w:rsid w:val="007B53F3"/>
    <w:pPr>
      <w:spacing w:before="100" w:beforeAutospacing="1" w:after="100" w:afterAutospacing="1"/>
    </w:pPr>
    <w:rPr>
      <w:sz w:val="18"/>
      <w:szCs w:val="18"/>
    </w:rPr>
  </w:style>
  <w:style w:type="paragraph" w:customStyle="1" w:styleId="xl63">
    <w:name w:val="xl63"/>
    <w:basedOn w:val="Normal"/>
    <w:uiPriority w:val="99"/>
    <w:rsid w:val="007B53F3"/>
    <w:pPr>
      <w:spacing w:before="100" w:beforeAutospacing="1" w:after="100" w:afterAutospacing="1"/>
      <w:textAlignment w:val="center"/>
    </w:pPr>
  </w:style>
  <w:style w:type="paragraph" w:customStyle="1" w:styleId="xl64">
    <w:name w:val="xl64"/>
    <w:basedOn w:val="Normal"/>
    <w:uiPriority w:val="99"/>
    <w:rsid w:val="007B53F3"/>
    <w:pPr>
      <w:pBdr>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65">
    <w:name w:val="xl65"/>
    <w:basedOn w:val="Normal"/>
    <w:uiPriority w:val="99"/>
    <w:rsid w:val="007B53F3"/>
    <w:pPr>
      <w:pBdr>
        <w:top w:val="double" w:sz="6" w:space="0" w:color="auto"/>
        <w:left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66">
    <w:name w:val="xl66"/>
    <w:basedOn w:val="Normal"/>
    <w:uiPriority w:val="99"/>
    <w:rsid w:val="007B53F3"/>
    <w:pPr>
      <w:pBdr>
        <w:left w:val="single" w:sz="8"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67">
    <w:name w:val="xl67"/>
    <w:basedOn w:val="Normal"/>
    <w:uiPriority w:val="99"/>
    <w:rsid w:val="007B53F3"/>
    <w:pPr>
      <w:pBdr>
        <w:top w:val="double" w:sz="6" w:space="0" w:color="auto"/>
        <w:left w:val="single" w:sz="8" w:space="0" w:color="auto"/>
        <w:bottom w:val="single" w:sz="8" w:space="0" w:color="auto"/>
      </w:pBdr>
      <w:spacing w:before="100" w:beforeAutospacing="1" w:after="100" w:afterAutospacing="1"/>
      <w:jc w:val="center"/>
      <w:textAlignment w:val="center"/>
    </w:pPr>
    <w:rPr>
      <w:b/>
      <w:bCs/>
      <w:sz w:val="18"/>
      <w:szCs w:val="18"/>
    </w:rPr>
  </w:style>
  <w:style w:type="paragraph" w:customStyle="1" w:styleId="xl68">
    <w:name w:val="xl68"/>
    <w:basedOn w:val="Normal"/>
    <w:uiPriority w:val="99"/>
    <w:rsid w:val="007B53F3"/>
    <w:pPr>
      <w:pBdr>
        <w:top w:val="double" w:sz="6" w:space="0" w:color="auto"/>
        <w:bottom w:val="single" w:sz="8" w:space="0" w:color="auto"/>
      </w:pBdr>
      <w:spacing w:before="100" w:beforeAutospacing="1" w:after="100" w:afterAutospacing="1"/>
      <w:jc w:val="center"/>
      <w:textAlignment w:val="center"/>
    </w:pPr>
    <w:rPr>
      <w:b/>
      <w:bCs/>
      <w:sz w:val="18"/>
      <w:szCs w:val="18"/>
    </w:rPr>
  </w:style>
  <w:style w:type="paragraph" w:customStyle="1" w:styleId="xl69">
    <w:name w:val="xl69"/>
    <w:basedOn w:val="Normal"/>
    <w:uiPriority w:val="99"/>
    <w:rsid w:val="007B53F3"/>
    <w:pPr>
      <w:pBdr>
        <w:top w:val="double" w:sz="6"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70">
    <w:name w:val="xl70"/>
    <w:basedOn w:val="Normal"/>
    <w:uiPriority w:val="99"/>
    <w:rsid w:val="007B53F3"/>
    <w:pPr>
      <w:pBdr>
        <w:top w:val="double" w:sz="6" w:space="0" w:color="auto"/>
        <w:left w:val="single" w:sz="8" w:space="0" w:color="auto"/>
        <w:right w:val="double" w:sz="6" w:space="0" w:color="auto"/>
      </w:pBdr>
      <w:spacing w:before="100" w:beforeAutospacing="1" w:after="100" w:afterAutospacing="1"/>
      <w:jc w:val="center"/>
      <w:textAlignment w:val="center"/>
    </w:pPr>
    <w:rPr>
      <w:b/>
      <w:bCs/>
      <w:sz w:val="18"/>
      <w:szCs w:val="18"/>
    </w:rPr>
  </w:style>
  <w:style w:type="paragraph" w:customStyle="1" w:styleId="xl71">
    <w:name w:val="xl71"/>
    <w:basedOn w:val="Normal"/>
    <w:uiPriority w:val="99"/>
    <w:rsid w:val="007B53F3"/>
    <w:pPr>
      <w:pBdr>
        <w:left w:val="single" w:sz="8" w:space="0" w:color="auto"/>
        <w:bottom w:val="single" w:sz="8" w:space="0" w:color="auto"/>
        <w:right w:val="double" w:sz="6" w:space="0" w:color="auto"/>
      </w:pBdr>
      <w:spacing w:before="100" w:beforeAutospacing="1" w:after="100" w:afterAutospacing="1"/>
      <w:jc w:val="center"/>
      <w:textAlignment w:val="center"/>
    </w:pPr>
    <w:rPr>
      <w:b/>
      <w:bCs/>
      <w:sz w:val="18"/>
      <w:szCs w:val="18"/>
    </w:rPr>
  </w:style>
  <w:style w:type="paragraph" w:customStyle="1" w:styleId="xl72">
    <w:name w:val="xl72"/>
    <w:basedOn w:val="Normal"/>
    <w:uiPriority w:val="99"/>
    <w:rsid w:val="007B53F3"/>
    <w:pPr>
      <w:pBdr>
        <w:top w:val="double" w:sz="6" w:space="0" w:color="auto"/>
        <w:left w:val="double" w:sz="6" w:space="0" w:color="auto"/>
        <w:right w:val="single" w:sz="8" w:space="0" w:color="auto"/>
      </w:pBdr>
      <w:spacing w:before="100" w:beforeAutospacing="1" w:after="100" w:afterAutospacing="1"/>
      <w:jc w:val="center"/>
      <w:textAlignment w:val="center"/>
    </w:pPr>
    <w:rPr>
      <w:b/>
      <w:bCs/>
      <w:sz w:val="18"/>
      <w:szCs w:val="18"/>
    </w:rPr>
  </w:style>
  <w:style w:type="paragraph" w:customStyle="1" w:styleId="xl73">
    <w:name w:val="xl73"/>
    <w:basedOn w:val="Normal"/>
    <w:uiPriority w:val="99"/>
    <w:rsid w:val="007B53F3"/>
    <w:pPr>
      <w:pBdr>
        <w:left w:val="double" w:sz="6"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74">
    <w:name w:val="xl74"/>
    <w:basedOn w:val="Normal"/>
    <w:uiPriority w:val="99"/>
    <w:rsid w:val="007B53F3"/>
    <w:pPr>
      <w:pBdr>
        <w:left w:val="double" w:sz="6" w:space="0" w:color="auto"/>
        <w:bottom w:val="single" w:sz="8" w:space="0" w:color="auto"/>
        <w:right w:val="single" w:sz="8" w:space="0" w:color="auto"/>
      </w:pBdr>
      <w:spacing w:before="100" w:beforeAutospacing="1" w:after="100" w:afterAutospacing="1"/>
      <w:textAlignment w:val="center"/>
    </w:pPr>
    <w:rPr>
      <w:sz w:val="18"/>
      <w:szCs w:val="18"/>
    </w:rPr>
  </w:style>
  <w:style w:type="paragraph" w:customStyle="1" w:styleId="xl75">
    <w:name w:val="xl75"/>
    <w:basedOn w:val="Normal"/>
    <w:uiPriority w:val="99"/>
    <w:rsid w:val="007B53F3"/>
    <w:pPr>
      <w:pBdr>
        <w:bottom w:val="single" w:sz="8" w:space="0" w:color="auto"/>
        <w:right w:val="single" w:sz="8" w:space="0" w:color="auto"/>
      </w:pBdr>
      <w:spacing w:before="100" w:beforeAutospacing="1" w:after="100" w:afterAutospacing="1"/>
      <w:jc w:val="center"/>
      <w:textAlignment w:val="center"/>
    </w:pPr>
    <w:rPr>
      <w:sz w:val="18"/>
      <w:szCs w:val="18"/>
    </w:rPr>
  </w:style>
  <w:style w:type="paragraph" w:customStyle="1" w:styleId="xl76">
    <w:name w:val="xl76"/>
    <w:basedOn w:val="Normal"/>
    <w:uiPriority w:val="99"/>
    <w:rsid w:val="007B53F3"/>
    <w:pPr>
      <w:pBdr>
        <w:bottom w:val="single" w:sz="8" w:space="0" w:color="auto"/>
        <w:right w:val="single" w:sz="8" w:space="0" w:color="auto"/>
      </w:pBdr>
      <w:spacing w:before="100" w:beforeAutospacing="1" w:after="100" w:afterAutospacing="1"/>
      <w:jc w:val="center"/>
      <w:textAlignment w:val="center"/>
    </w:pPr>
    <w:rPr>
      <w:color w:val="FF0000"/>
      <w:sz w:val="18"/>
      <w:szCs w:val="18"/>
    </w:rPr>
  </w:style>
  <w:style w:type="paragraph" w:customStyle="1" w:styleId="xl77">
    <w:name w:val="xl77"/>
    <w:basedOn w:val="Normal"/>
    <w:uiPriority w:val="99"/>
    <w:rsid w:val="007B53F3"/>
    <w:pPr>
      <w:pBdr>
        <w:bottom w:val="single" w:sz="8" w:space="0" w:color="auto"/>
        <w:right w:val="single" w:sz="8" w:space="0" w:color="auto"/>
      </w:pBdr>
      <w:spacing w:before="100" w:beforeAutospacing="1" w:after="100" w:afterAutospacing="1"/>
      <w:jc w:val="center"/>
      <w:textAlignment w:val="center"/>
    </w:pPr>
    <w:rPr>
      <w:color w:val="FF0000"/>
      <w:sz w:val="18"/>
      <w:szCs w:val="18"/>
    </w:rPr>
  </w:style>
  <w:style w:type="paragraph" w:customStyle="1" w:styleId="xl78">
    <w:name w:val="xl78"/>
    <w:basedOn w:val="Normal"/>
    <w:uiPriority w:val="99"/>
    <w:rsid w:val="007B53F3"/>
    <w:pPr>
      <w:pBdr>
        <w:right w:val="double" w:sz="6" w:space="0" w:color="auto"/>
      </w:pBdr>
      <w:spacing w:before="100" w:beforeAutospacing="1" w:after="100" w:afterAutospacing="1"/>
      <w:jc w:val="center"/>
      <w:textAlignment w:val="center"/>
    </w:pPr>
    <w:rPr>
      <w:b/>
      <w:bCs/>
      <w:sz w:val="18"/>
      <w:szCs w:val="18"/>
    </w:rPr>
  </w:style>
  <w:style w:type="paragraph" w:customStyle="1" w:styleId="xl79">
    <w:name w:val="xl79"/>
    <w:basedOn w:val="Normal"/>
    <w:uiPriority w:val="99"/>
    <w:rsid w:val="007B53F3"/>
    <w:pPr>
      <w:spacing w:before="100" w:beforeAutospacing="1" w:after="100" w:afterAutospacing="1"/>
      <w:textAlignment w:val="center"/>
    </w:pPr>
  </w:style>
  <w:style w:type="paragraph" w:customStyle="1" w:styleId="xl80">
    <w:name w:val="xl80"/>
    <w:basedOn w:val="Normal"/>
    <w:uiPriority w:val="99"/>
    <w:rsid w:val="007B53F3"/>
    <w:pPr>
      <w:pBdr>
        <w:left w:val="double" w:sz="6" w:space="0" w:color="auto"/>
        <w:bottom w:val="single" w:sz="8" w:space="0" w:color="auto"/>
        <w:right w:val="single" w:sz="8" w:space="0" w:color="auto"/>
      </w:pBdr>
      <w:spacing w:before="100" w:beforeAutospacing="1" w:after="100" w:afterAutospacing="1"/>
      <w:jc w:val="right"/>
      <w:textAlignment w:val="center"/>
    </w:pPr>
    <w:rPr>
      <w:b/>
      <w:bCs/>
      <w:sz w:val="18"/>
      <w:szCs w:val="18"/>
    </w:rPr>
  </w:style>
  <w:style w:type="paragraph" w:customStyle="1" w:styleId="xl81">
    <w:name w:val="xl81"/>
    <w:basedOn w:val="Normal"/>
    <w:uiPriority w:val="99"/>
    <w:rsid w:val="007B53F3"/>
    <w:pPr>
      <w:pBdr>
        <w:right w:val="double" w:sz="6" w:space="0" w:color="auto"/>
      </w:pBdr>
      <w:spacing w:before="100" w:beforeAutospacing="1" w:after="100" w:afterAutospacing="1"/>
      <w:jc w:val="center"/>
      <w:textAlignment w:val="center"/>
    </w:pPr>
    <w:rPr>
      <w:sz w:val="18"/>
      <w:szCs w:val="18"/>
    </w:rPr>
  </w:style>
  <w:style w:type="paragraph" w:customStyle="1" w:styleId="xl82">
    <w:name w:val="xl82"/>
    <w:basedOn w:val="Normal"/>
    <w:uiPriority w:val="99"/>
    <w:rsid w:val="007B53F3"/>
    <w:pPr>
      <w:pBdr>
        <w:bottom w:val="double" w:sz="6" w:space="0" w:color="auto"/>
        <w:right w:val="double" w:sz="6" w:space="0" w:color="auto"/>
      </w:pBdr>
      <w:spacing w:before="100" w:beforeAutospacing="1" w:after="100" w:afterAutospacing="1"/>
      <w:jc w:val="center"/>
      <w:textAlignment w:val="center"/>
    </w:pPr>
    <w:rPr>
      <w:sz w:val="18"/>
      <w:szCs w:val="18"/>
    </w:rPr>
  </w:style>
  <w:style w:type="paragraph" w:customStyle="1" w:styleId="xl83">
    <w:name w:val="xl83"/>
    <w:basedOn w:val="Normal"/>
    <w:uiPriority w:val="99"/>
    <w:rsid w:val="007B53F3"/>
    <w:pPr>
      <w:pBdr>
        <w:left w:val="double" w:sz="6" w:space="0" w:color="auto"/>
        <w:bottom w:val="double" w:sz="6" w:space="0" w:color="auto"/>
        <w:right w:val="single" w:sz="8" w:space="0" w:color="auto"/>
      </w:pBdr>
      <w:shd w:val="clear" w:color="000000" w:fill="D8D8D8"/>
      <w:spacing w:before="100" w:beforeAutospacing="1" w:after="100" w:afterAutospacing="1"/>
      <w:jc w:val="center"/>
      <w:textAlignment w:val="center"/>
    </w:pPr>
    <w:rPr>
      <w:b/>
      <w:bCs/>
      <w:sz w:val="18"/>
      <w:szCs w:val="18"/>
    </w:rPr>
  </w:style>
  <w:style w:type="paragraph" w:customStyle="1" w:styleId="xl84">
    <w:name w:val="xl84"/>
    <w:basedOn w:val="Normal"/>
    <w:uiPriority w:val="99"/>
    <w:rsid w:val="007B53F3"/>
    <w:pPr>
      <w:pBdr>
        <w:bottom w:val="double" w:sz="6" w:space="0" w:color="auto"/>
        <w:right w:val="single" w:sz="8" w:space="0" w:color="auto"/>
      </w:pBdr>
      <w:shd w:val="clear" w:color="000000" w:fill="D8D8D8"/>
      <w:spacing w:before="100" w:beforeAutospacing="1" w:after="100" w:afterAutospacing="1"/>
      <w:jc w:val="center"/>
      <w:textAlignment w:val="center"/>
    </w:pPr>
    <w:rPr>
      <w:sz w:val="18"/>
      <w:szCs w:val="18"/>
    </w:rPr>
  </w:style>
  <w:style w:type="paragraph" w:customStyle="1" w:styleId="xl85">
    <w:name w:val="xl85"/>
    <w:basedOn w:val="Normal"/>
    <w:uiPriority w:val="99"/>
    <w:rsid w:val="007B53F3"/>
    <w:pPr>
      <w:pBdr>
        <w:bottom w:val="double" w:sz="6" w:space="0" w:color="auto"/>
        <w:right w:val="single" w:sz="8" w:space="0" w:color="auto"/>
      </w:pBdr>
      <w:shd w:val="clear" w:color="000000" w:fill="D8D8D8"/>
      <w:spacing w:before="100" w:beforeAutospacing="1" w:after="100" w:afterAutospacing="1"/>
      <w:jc w:val="center"/>
      <w:textAlignment w:val="center"/>
    </w:pPr>
    <w:rPr>
      <w:color w:val="FF0000"/>
      <w:sz w:val="18"/>
      <w:szCs w:val="18"/>
    </w:rPr>
  </w:style>
  <w:style w:type="character" w:styleId="SubtleEmphasis">
    <w:name w:val="Subtle Emphasis"/>
    <w:basedOn w:val="DefaultParagraphFont"/>
    <w:uiPriority w:val="99"/>
    <w:qFormat/>
    <w:rsid w:val="007B53F3"/>
    <w:rPr>
      <w:i/>
      <w:color w:val="808080"/>
    </w:rPr>
  </w:style>
  <w:style w:type="paragraph" w:customStyle="1" w:styleId="Nagowek3">
    <w:name w:val="Nagłowek 3"/>
    <w:basedOn w:val="Heading3"/>
    <w:next w:val="Heading4"/>
    <w:link w:val="Nagowek3Znak"/>
    <w:uiPriority w:val="99"/>
    <w:rsid w:val="005276BC"/>
    <w:pPr>
      <w:numPr>
        <w:numId w:val="15"/>
      </w:numPr>
    </w:pPr>
    <w:rPr>
      <w:i/>
    </w:rPr>
  </w:style>
  <w:style w:type="character" w:customStyle="1" w:styleId="Nagowek3Znak">
    <w:name w:val="Nagłowek 3 Znak"/>
    <w:link w:val="Nagowek3"/>
    <w:uiPriority w:val="99"/>
    <w:locked/>
    <w:rsid w:val="005276BC"/>
    <w:rPr>
      <w:rFonts w:ascii="Arial" w:hAnsi="Arial" w:cs="Arial"/>
      <w:b/>
      <w:bCs/>
      <w:i/>
      <w:sz w:val="26"/>
      <w:szCs w:val="26"/>
    </w:rPr>
  </w:style>
  <w:style w:type="paragraph" w:customStyle="1" w:styleId="Akapitzlist2">
    <w:name w:val="Akapit z listą2"/>
    <w:basedOn w:val="Normal"/>
    <w:uiPriority w:val="99"/>
    <w:rsid w:val="007B53F3"/>
    <w:pPr>
      <w:ind w:left="720"/>
    </w:pPr>
  </w:style>
  <w:style w:type="character" w:customStyle="1" w:styleId="Tekstzastpczy2">
    <w:name w:val="Tekst zastępczy2"/>
    <w:uiPriority w:val="99"/>
    <w:semiHidden/>
    <w:rsid w:val="007B53F3"/>
    <w:rPr>
      <w:color w:val="808080"/>
    </w:rPr>
  </w:style>
  <w:style w:type="paragraph" w:customStyle="1" w:styleId="Nagwekspisutreci2">
    <w:name w:val="Nagłówek spisu treści2"/>
    <w:basedOn w:val="Heading1"/>
    <w:next w:val="Normal"/>
    <w:uiPriority w:val="99"/>
    <w:semiHidden/>
    <w:rsid w:val="007B53F3"/>
    <w:pPr>
      <w:spacing w:line="276" w:lineRule="auto"/>
      <w:outlineLvl w:val="9"/>
    </w:pPr>
    <w:rPr>
      <w:lang w:eastAsia="en-US"/>
    </w:rPr>
  </w:style>
  <w:style w:type="character" w:customStyle="1" w:styleId="eltit1">
    <w:name w:val="eltit1"/>
    <w:uiPriority w:val="99"/>
    <w:rsid w:val="007B53F3"/>
    <w:rPr>
      <w:rFonts w:ascii="Verdana" w:hAnsi="Verdana"/>
      <w:color w:val="333366"/>
      <w:sz w:val="20"/>
    </w:rPr>
  </w:style>
  <w:style w:type="paragraph" w:customStyle="1" w:styleId="default0">
    <w:name w:val="default"/>
    <w:basedOn w:val="Normal"/>
    <w:uiPriority w:val="99"/>
    <w:rsid w:val="007B53F3"/>
    <w:rPr>
      <w:color w:val="000000"/>
    </w:rPr>
  </w:style>
  <w:style w:type="paragraph" w:styleId="TOC5">
    <w:name w:val="toc 5"/>
    <w:basedOn w:val="Normal"/>
    <w:next w:val="Normal"/>
    <w:autoRedefine/>
    <w:uiPriority w:val="99"/>
    <w:rsid w:val="007B53F3"/>
    <w:pPr>
      <w:spacing w:after="100" w:line="276" w:lineRule="auto"/>
      <w:ind w:left="880"/>
    </w:pPr>
    <w:rPr>
      <w:rFonts w:ascii="Calibri" w:hAnsi="Calibri"/>
      <w:sz w:val="22"/>
      <w:szCs w:val="22"/>
    </w:rPr>
  </w:style>
  <w:style w:type="paragraph" w:styleId="TOC6">
    <w:name w:val="toc 6"/>
    <w:basedOn w:val="Normal"/>
    <w:next w:val="Normal"/>
    <w:autoRedefine/>
    <w:uiPriority w:val="99"/>
    <w:rsid w:val="007B53F3"/>
    <w:pPr>
      <w:spacing w:after="100" w:line="276" w:lineRule="auto"/>
      <w:ind w:left="1100"/>
    </w:pPr>
    <w:rPr>
      <w:rFonts w:ascii="Calibri" w:hAnsi="Calibri"/>
      <w:sz w:val="22"/>
      <w:szCs w:val="22"/>
    </w:rPr>
  </w:style>
  <w:style w:type="paragraph" w:styleId="TOC7">
    <w:name w:val="toc 7"/>
    <w:basedOn w:val="Normal"/>
    <w:next w:val="Normal"/>
    <w:autoRedefine/>
    <w:uiPriority w:val="99"/>
    <w:rsid w:val="007B53F3"/>
    <w:pPr>
      <w:spacing w:after="100" w:line="276" w:lineRule="auto"/>
      <w:ind w:left="1320"/>
    </w:pPr>
    <w:rPr>
      <w:rFonts w:ascii="Calibri" w:hAnsi="Calibri"/>
      <w:sz w:val="22"/>
      <w:szCs w:val="22"/>
    </w:rPr>
  </w:style>
  <w:style w:type="paragraph" w:styleId="TOC8">
    <w:name w:val="toc 8"/>
    <w:basedOn w:val="Normal"/>
    <w:next w:val="Normal"/>
    <w:autoRedefine/>
    <w:uiPriority w:val="99"/>
    <w:rsid w:val="007B53F3"/>
    <w:pPr>
      <w:spacing w:after="100" w:line="276" w:lineRule="auto"/>
      <w:ind w:left="1540"/>
    </w:pPr>
    <w:rPr>
      <w:rFonts w:ascii="Calibri" w:hAnsi="Calibri"/>
      <w:sz w:val="22"/>
      <w:szCs w:val="22"/>
    </w:rPr>
  </w:style>
  <w:style w:type="paragraph" w:styleId="TOC9">
    <w:name w:val="toc 9"/>
    <w:basedOn w:val="Normal"/>
    <w:next w:val="Normal"/>
    <w:autoRedefine/>
    <w:uiPriority w:val="99"/>
    <w:rsid w:val="007B53F3"/>
    <w:pPr>
      <w:spacing w:after="100" w:line="276" w:lineRule="auto"/>
      <w:ind w:left="1760"/>
    </w:pPr>
    <w:rPr>
      <w:rFonts w:ascii="Calibri" w:hAnsi="Calibri"/>
      <w:sz w:val="22"/>
      <w:szCs w:val="22"/>
    </w:rPr>
  </w:style>
  <w:style w:type="paragraph" w:styleId="Subtitle">
    <w:name w:val="Subtitle"/>
    <w:basedOn w:val="Normal"/>
    <w:next w:val="Normal"/>
    <w:link w:val="SubtitleChar"/>
    <w:uiPriority w:val="99"/>
    <w:qFormat/>
    <w:rsid w:val="007B53F3"/>
    <w:pPr>
      <w:numPr>
        <w:ilvl w:val="1"/>
      </w:numPr>
    </w:pPr>
    <w:rPr>
      <w:rFonts w:ascii="Cambria" w:hAnsi="Cambria"/>
      <w:i/>
      <w:iCs/>
      <w:color w:val="4F81BD"/>
      <w:spacing w:val="15"/>
    </w:rPr>
  </w:style>
  <w:style w:type="character" w:customStyle="1" w:styleId="SubtitleChar">
    <w:name w:val="Subtitle Char"/>
    <w:basedOn w:val="DefaultParagraphFont"/>
    <w:link w:val="Subtitle"/>
    <w:uiPriority w:val="99"/>
    <w:locked/>
    <w:rsid w:val="007B53F3"/>
    <w:rPr>
      <w:rFonts w:ascii="Cambria" w:hAnsi="Cambria"/>
      <w:i/>
      <w:color w:val="4F81BD"/>
      <w:spacing w:val="15"/>
      <w:sz w:val="24"/>
    </w:rPr>
  </w:style>
  <w:style w:type="character" w:styleId="IntenseEmphasis">
    <w:name w:val="Intense Emphasis"/>
    <w:basedOn w:val="DefaultParagraphFont"/>
    <w:uiPriority w:val="99"/>
    <w:qFormat/>
    <w:rsid w:val="007B53F3"/>
    <w:rPr>
      <w:b/>
      <w:i/>
      <w:color w:val="4F81BD"/>
    </w:rPr>
  </w:style>
  <w:style w:type="paragraph" w:customStyle="1" w:styleId="Podstawowy">
    <w:name w:val="Podstawowy"/>
    <w:basedOn w:val="Normal"/>
    <w:uiPriority w:val="99"/>
    <w:rsid w:val="007B53F3"/>
    <w:pPr>
      <w:spacing w:before="60" w:line="360" w:lineRule="auto"/>
      <w:ind w:firstLine="476"/>
      <w:jc w:val="both"/>
    </w:pPr>
    <w:rPr>
      <w:rFonts w:ascii="Arial" w:hAnsi="Arial"/>
      <w:sz w:val="22"/>
      <w:szCs w:val="20"/>
    </w:rPr>
  </w:style>
  <w:style w:type="paragraph" w:customStyle="1" w:styleId="Nagowek5">
    <w:name w:val="Nagłowek 5"/>
    <w:basedOn w:val="Heading3"/>
    <w:link w:val="Nagowek5Znak"/>
    <w:uiPriority w:val="99"/>
    <w:rsid w:val="004C4E5B"/>
    <w:pPr>
      <w:numPr>
        <w:ilvl w:val="2"/>
      </w:numPr>
      <w:ind w:left="2280" w:hanging="720"/>
    </w:pPr>
  </w:style>
  <w:style w:type="character" w:customStyle="1" w:styleId="Nagowek5Znak">
    <w:name w:val="Nagłowek 5 Znak"/>
    <w:link w:val="Nagowek5"/>
    <w:uiPriority w:val="99"/>
    <w:locked/>
    <w:rsid w:val="004C4E5B"/>
    <w:rPr>
      <w:rFonts w:ascii="Arial" w:hAnsi="Arial"/>
      <w:b/>
      <w:sz w:val="26"/>
    </w:rPr>
  </w:style>
  <w:style w:type="paragraph" w:customStyle="1" w:styleId="msolistparagraph0">
    <w:name w:val="msolistparagraph"/>
    <w:basedOn w:val="Normal"/>
    <w:uiPriority w:val="99"/>
    <w:rsid w:val="00B764D9"/>
    <w:pPr>
      <w:ind w:left="720"/>
    </w:pPr>
  </w:style>
  <w:style w:type="paragraph" w:customStyle="1" w:styleId="Nagwek0">
    <w:name w:val="Nagłówek 0"/>
    <w:basedOn w:val="Normal"/>
    <w:next w:val="Normal"/>
    <w:link w:val="Nagwek0Znak"/>
    <w:autoRedefine/>
    <w:uiPriority w:val="99"/>
    <w:rsid w:val="00406782"/>
    <w:rPr>
      <w:rFonts w:ascii="Cambria" w:hAnsi="Cambria"/>
      <w:b/>
      <w:sz w:val="48"/>
      <w:szCs w:val="48"/>
    </w:rPr>
  </w:style>
  <w:style w:type="character" w:customStyle="1" w:styleId="Nagwek0Znak">
    <w:name w:val="Nagłówek 0 Znak"/>
    <w:link w:val="Nagwek0"/>
    <w:uiPriority w:val="99"/>
    <w:locked/>
    <w:rsid w:val="00406782"/>
    <w:rPr>
      <w:rFonts w:ascii="Cambria" w:hAnsi="Cambria"/>
      <w:b/>
      <w:sz w:val="48"/>
    </w:rPr>
  </w:style>
  <w:style w:type="paragraph" w:customStyle="1" w:styleId="nagwek1M">
    <w:name w:val="nagłówek 1 M"/>
    <w:basedOn w:val="Heading1"/>
    <w:link w:val="nagwek1MZnak"/>
    <w:uiPriority w:val="99"/>
    <w:rsid w:val="00406782"/>
    <w:rPr>
      <w:b w:val="0"/>
      <w:color w:val="00B050"/>
      <w:sz w:val="48"/>
      <w:szCs w:val="48"/>
    </w:rPr>
  </w:style>
  <w:style w:type="character" w:customStyle="1" w:styleId="nagwek1MZnak">
    <w:name w:val="nagłówek 1 M Znak"/>
    <w:link w:val="nagwek1M"/>
    <w:uiPriority w:val="99"/>
    <w:locked/>
    <w:rsid w:val="00406782"/>
    <w:rPr>
      <w:rFonts w:ascii="Cambria" w:hAnsi="Cambria"/>
      <w:b/>
      <w:color w:val="00B050"/>
      <w:sz w:val="48"/>
    </w:rPr>
  </w:style>
  <w:style w:type="character" w:styleId="PlaceholderText">
    <w:name w:val="Placeholder Text"/>
    <w:basedOn w:val="DefaultParagraphFont"/>
    <w:uiPriority w:val="99"/>
    <w:semiHidden/>
    <w:rsid w:val="00406782"/>
    <w:rPr>
      <w:color w:val="808080"/>
    </w:rPr>
  </w:style>
  <w:style w:type="paragraph" w:customStyle="1" w:styleId="xl86">
    <w:name w:val="xl86"/>
    <w:basedOn w:val="Normal"/>
    <w:uiPriority w:val="99"/>
    <w:rsid w:val="00406782"/>
    <w:pPr>
      <w:pBdr>
        <w:top w:val="double" w:sz="6" w:space="0" w:color="auto"/>
        <w:bottom w:val="single" w:sz="8" w:space="0" w:color="auto"/>
      </w:pBdr>
      <w:spacing w:before="100" w:beforeAutospacing="1" w:after="100" w:afterAutospacing="1"/>
      <w:jc w:val="center"/>
      <w:textAlignment w:val="center"/>
    </w:pPr>
    <w:rPr>
      <w:b/>
      <w:bCs/>
      <w:sz w:val="18"/>
      <w:szCs w:val="18"/>
    </w:rPr>
  </w:style>
  <w:style w:type="paragraph" w:customStyle="1" w:styleId="xl87">
    <w:name w:val="xl87"/>
    <w:basedOn w:val="Normal"/>
    <w:uiPriority w:val="99"/>
    <w:rsid w:val="00406782"/>
    <w:pPr>
      <w:pBdr>
        <w:top w:val="double" w:sz="6" w:space="0" w:color="auto"/>
        <w:bottom w:val="single" w:sz="8" w:space="0" w:color="auto"/>
        <w:right w:val="single" w:sz="8" w:space="0" w:color="auto"/>
      </w:pBdr>
      <w:spacing w:before="100" w:beforeAutospacing="1" w:after="100" w:afterAutospacing="1"/>
      <w:jc w:val="center"/>
      <w:textAlignment w:val="center"/>
    </w:pPr>
    <w:rPr>
      <w:b/>
      <w:bCs/>
      <w:sz w:val="18"/>
      <w:szCs w:val="18"/>
    </w:rPr>
  </w:style>
  <w:style w:type="paragraph" w:customStyle="1" w:styleId="xl88">
    <w:name w:val="xl88"/>
    <w:basedOn w:val="Normal"/>
    <w:uiPriority w:val="99"/>
    <w:rsid w:val="00406782"/>
    <w:pPr>
      <w:pBdr>
        <w:bottom w:val="single" w:sz="8" w:space="0" w:color="auto"/>
        <w:right w:val="single" w:sz="8" w:space="0" w:color="auto"/>
      </w:pBdr>
      <w:spacing w:before="100" w:beforeAutospacing="1" w:after="100" w:afterAutospacing="1"/>
      <w:jc w:val="center"/>
      <w:textAlignment w:val="center"/>
    </w:pPr>
    <w:rPr>
      <w:b/>
      <w:bCs/>
      <w:color w:val="FF0000"/>
      <w:sz w:val="18"/>
      <w:szCs w:val="18"/>
    </w:rPr>
  </w:style>
  <w:style w:type="paragraph" w:customStyle="1" w:styleId="xl89">
    <w:name w:val="xl89"/>
    <w:basedOn w:val="Normal"/>
    <w:uiPriority w:val="99"/>
    <w:rsid w:val="00406782"/>
    <w:pPr>
      <w:pBdr>
        <w:bottom w:val="double" w:sz="6" w:space="0" w:color="auto"/>
        <w:right w:val="single" w:sz="8" w:space="0" w:color="auto"/>
      </w:pBdr>
      <w:shd w:val="clear" w:color="000000" w:fill="D8D8D8"/>
      <w:spacing w:before="100" w:beforeAutospacing="1" w:after="100" w:afterAutospacing="1"/>
      <w:jc w:val="center"/>
      <w:textAlignment w:val="center"/>
    </w:pPr>
    <w:rPr>
      <w:b/>
      <w:bCs/>
      <w:color w:val="FF0000"/>
      <w:sz w:val="18"/>
      <w:szCs w:val="18"/>
    </w:rPr>
  </w:style>
  <w:style w:type="paragraph" w:customStyle="1" w:styleId="xl90">
    <w:name w:val="xl90"/>
    <w:basedOn w:val="Normal"/>
    <w:uiPriority w:val="99"/>
    <w:rsid w:val="00406782"/>
    <w:pPr>
      <w:spacing w:before="100" w:beforeAutospacing="1" w:after="100" w:afterAutospacing="1"/>
      <w:textAlignment w:val="center"/>
    </w:pPr>
    <w:rPr>
      <w:b/>
      <w:bCs/>
    </w:rPr>
  </w:style>
  <w:style w:type="paragraph" w:styleId="TOCHeading">
    <w:name w:val="TOC Heading"/>
    <w:basedOn w:val="Heading1"/>
    <w:next w:val="Normal"/>
    <w:uiPriority w:val="99"/>
    <w:qFormat/>
    <w:rsid w:val="00406782"/>
    <w:pPr>
      <w:outlineLvl w:val="9"/>
    </w:pPr>
  </w:style>
  <w:style w:type="paragraph" w:customStyle="1" w:styleId="TytuPOP">
    <w:name w:val="Tytuł POP"/>
    <w:basedOn w:val="Normal"/>
    <w:link w:val="TytuPOPZnak"/>
    <w:uiPriority w:val="99"/>
    <w:rsid w:val="00406782"/>
    <w:rPr>
      <w:rFonts w:ascii="Cambria" w:hAnsi="Cambria"/>
      <w:b/>
      <w:sz w:val="48"/>
      <w:szCs w:val="48"/>
    </w:rPr>
  </w:style>
  <w:style w:type="character" w:customStyle="1" w:styleId="TytuPOPZnak">
    <w:name w:val="Tytuł POP Znak"/>
    <w:link w:val="TytuPOP"/>
    <w:uiPriority w:val="99"/>
    <w:locked/>
    <w:rsid w:val="00406782"/>
    <w:rPr>
      <w:rFonts w:ascii="Cambria" w:hAnsi="Cambria"/>
      <w:b/>
      <w:sz w:val="48"/>
    </w:rPr>
  </w:style>
  <w:style w:type="paragraph" w:customStyle="1" w:styleId="font7">
    <w:name w:val="font7"/>
    <w:basedOn w:val="Normal"/>
    <w:uiPriority w:val="99"/>
    <w:rsid w:val="001E6045"/>
    <w:pPr>
      <w:spacing w:before="100" w:beforeAutospacing="1" w:after="100" w:afterAutospacing="1"/>
    </w:pPr>
    <w:rPr>
      <w:b/>
      <w:bCs/>
      <w:sz w:val="18"/>
      <w:szCs w:val="18"/>
    </w:rPr>
  </w:style>
  <w:style w:type="paragraph" w:customStyle="1" w:styleId="font8">
    <w:name w:val="font8"/>
    <w:basedOn w:val="Normal"/>
    <w:uiPriority w:val="99"/>
    <w:rsid w:val="001E6045"/>
    <w:pPr>
      <w:spacing w:before="100" w:beforeAutospacing="1" w:after="100" w:afterAutospacing="1"/>
    </w:pPr>
    <w:rPr>
      <w:sz w:val="18"/>
      <w:szCs w:val="18"/>
    </w:rPr>
  </w:style>
  <w:style w:type="paragraph" w:customStyle="1" w:styleId="xl91">
    <w:name w:val="xl91"/>
    <w:basedOn w:val="Normal"/>
    <w:uiPriority w:val="99"/>
    <w:rsid w:val="001E6045"/>
    <w:pPr>
      <w:pBdr>
        <w:top w:val="single" w:sz="4" w:space="0" w:color="auto"/>
        <w:bottom w:val="single" w:sz="4" w:space="0" w:color="auto"/>
        <w:right w:val="single" w:sz="4" w:space="0" w:color="auto"/>
      </w:pBdr>
      <w:spacing w:before="100" w:beforeAutospacing="1" w:after="100" w:afterAutospacing="1"/>
      <w:jc w:val="center"/>
      <w:textAlignment w:val="center"/>
    </w:pPr>
    <w:rPr>
      <w:b/>
      <w:bCs/>
      <w:i/>
      <w:iCs/>
      <w:sz w:val="18"/>
      <w:szCs w:val="18"/>
    </w:rPr>
  </w:style>
  <w:style w:type="paragraph" w:customStyle="1" w:styleId="normalKra">
    <w:name w:val="normal Kra"/>
    <w:basedOn w:val="nag1BP"/>
    <w:link w:val="normalKraZnak"/>
    <w:uiPriority w:val="99"/>
    <w:rsid w:val="002D3351"/>
    <w:pPr>
      <w:spacing w:before="120" w:after="120"/>
      <w:ind w:left="0" w:firstLine="0"/>
      <w:jc w:val="both"/>
    </w:pPr>
    <w:rPr>
      <w:rFonts w:ascii="Trebuchet MS" w:hAnsi="Trebuchet MS"/>
      <w:b w:val="0"/>
      <w:sz w:val="20"/>
      <w:szCs w:val="20"/>
    </w:rPr>
  </w:style>
  <w:style w:type="paragraph" w:customStyle="1" w:styleId="nagwek1Kra">
    <w:name w:val="nagłówek 1 Kra"/>
    <w:basedOn w:val="Heading1"/>
    <w:link w:val="nagwek1KraZnak"/>
    <w:uiPriority w:val="99"/>
    <w:rsid w:val="00FC6D36"/>
    <w:pPr>
      <w:numPr>
        <w:numId w:val="16"/>
      </w:numPr>
      <w:spacing w:before="0" w:after="240"/>
      <w:ind w:left="357" w:hanging="357"/>
    </w:pPr>
    <w:rPr>
      <w:rFonts w:ascii="Trebuchet MS" w:hAnsi="Trebuchet MS"/>
      <w:color w:val="333366"/>
    </w:rPr>
  </w:style>
  <w:style w:type="character" w:customStyle="1" w:styleId="normalKraZnak">
    <w:name w:val="normal Kra Znak"/>
    <w:link w:val="normalKra"/>
    <w:uiPriority w:val="99"/>
    <w:locked/>
    <w:rsid w:val="002D3351"/>
    <w:rPr>
      <w:rFonts w:ascii="Trebuchet MS" w:hAnsi="Trebuchet MS"/>
      <w:b/>
      <w:color w:val="365F91"/>
      <w:kern w:val="32"/>
      <w:sz w:val="32"/>
    </w:rPr>
  </w:style>
  <w:style w:type="paragraph" w:customStyle="1" w:styleId="nagwek2Kra">
    <w:name w:val="nagłówek 2 Kra"/>
    <w:basedOn w:val="nag2BP"/>
    <w:link w:val="nagwek2KraZnak"/>
    <w:uiPriority w:val="99"/>
    <w:rsid w:val="00B05591"/>
    <w:pPr>
      <w:numPr>
        <w:numId w:val="17"/>
      </w:numPr>
      <w:spacing w:after="120" w:line="240" w:lineRule="auto"/>
      <w:ind w:left="357" w:hanging="357"/>
    </w:pPr>
    <w:rPr>
      <w:rFonts w:ascii="Trebuchet MS" w:hAnsi="Trebuchet MS"/>
      <w:i w:val="0"/>
      <w:color w:val="333366"/>
      <w:sz w:val="24"/>
      <w:szCs w:val="24"/>
    </w:rPr>
  </w:style>
  <w:style w:type="character" w:customStyle="1" w:styleId="nagwek1KraZnak">
    <w:name w:val="nagłówek 1 Kra Znak"/>
    <w:link w:val="nagwek1Kra"/>
    <w:uiPriority w:val="99"/>
    <w:locked/>
    <w:rsid w:val="00FC6D36"/>
    <w:rPr>
      <w:rFonts w:ascii="Trebuchet MS" w:hAnsi="Trebuchet MS"/>
      <w:b/>
      <w:bCs/>
      <w:color w:val="333366"/>
      <w:sz w:val="28"/>
      <w:szCs w:val="28"/>
    </w:rPr>
  </w:style>
  <w:style w:type="paragraph" w:customStyle="1" w:styleId="nagwek3Kra">
    <w:name w:val="nagłówek 3 Kra"/>
    <w:basedOn w:val="Styl2"/>
    <w:link w:val="nagwek3KraZnak"/>
    <w:uiPriority w:val="99"/>
    <w:rsid w:val="003C70BE"/>
    <w:pPr>
      <w:numPr>
        <w:ilvl w:val="0"/>
        <w:numId w:val="18"/>
      </w:numPr>
      <w:pBdr>
        <w:top w:val="single" w:sz="4" w:space="1" w:color="000000" w:shadow="1"/>
        <w:left w:val="single" w:sz="4" w:space="4" w:color="000000" w:shadow="1"/>
        <w:bottom w:val="single" w:sz="4" w:space="1" w:color="000000" w:shadow="1"/>
        <w:right w:val="single" w:sz="4" w:space="4" w:color="000000" w:shadow="1"/>
      </w:pBdr>
      <w:shd w:val="clear" w:color="auto" w:fill="333366"/>
      <w:spacing w:after="120"/>
    </w:pPr>
    <w:rPr>
      <w:rFonts w:ascii="Trebuchet MS" w:hAnsi="Trebuchet MS"/>
      <w:iCs/>
      <w:color w:val="FFFFFF"/>
      <w:sz w:val="20"/>
      <w:szCs w:val="20"/>
    </w:rPr>
  </w:style>
  <w:style w:type="character" w:customStyle="1" w:styleId="nagwek2KraZnak">
    <w:name w:val="nagłówek 2 Kra Znak"/>
    <w:link w:val="nagwek2Kra"/>
    <w:uiPriority w:val="99"/>
    <w:locked/>
    <w:rsid w:val="00B05591"/>
    <w:rPr>
      <w:rFonts w:ascii="Trebuchet MS" w:hAnsi="Trebuchet MS"/>
      <w:b/>
      <w:bCs/>
      <w:iCs/>
      <w:color w:val="333366"/>
      <w:sz w:val="24"/>
      <w:szCs w:val="24"/>
    </w:rPr>
  </w:style>
  <w:style w:type="paragraph" w:customStyle="1" w:styleId="nagwek4Kra">
    <w:name w:val="nagłówek 4 Kra"/>
    <w:basedOn w:val="Styl2"/>
    <w:link w:val="nagwek4KraZnak"/>
    <w:uiPriority w:val="99"/>
    <w:rsid w:val="00B03543"/>
    <w:pPr>
      <w:numPr>
        <w:ilvl w:val="0"/>
        <w:numId w:val="0"/>
      </w:numPr>
      <w:spacing w:before="120" w:after="120"/>
    </w:pPr>
    <w:rPr>
      <w:rFonts w:ascii="Trebuchet MS" w:hAnsi="Trebuchet MS"/>
      <w:i w:val="0"/>
      <w:color w:val="333366"/>
      <w:sz w:val="20"/>
      <w:szCs w:val="20"/>
    </w:rPr>
  </w:style>
  <w:style w:type="character" w:customStyle="1" w:styleId="nagwek3KraZnak">
    <w:name w:val="nagłówek 3 Kra Znak"/>
    <w:link w:val="nagwek3Kra"/>
    <w:uiPriority w:val="99"/>
    <w:locked/>
    <w:rsid w:val="003C70BE"/>
    <w:rPr>
      <w:rFonts w:ascii="Trebuchet MS" w:hAnsi="Trebuchet MS" w:cs="Arial"/>
      <w:b/>
      <w:bCs/>
      <w:i/>
      <w:iCs/>
      <w:color w:val="FFFFFF"/>
      <w:sz w:val="20"/>
      <w:szCs w:val="20"/>
      <w:shd w:val="clear" w:color="auto" w:fill="333366"/>
    </w:rPr>
  </w:style>
  <w:style w:type="paragraph" w:customStyle="1" w:styleId="nagtabelKra">
    <w:name w:val="nagł tabel Kra"/>
    <w:basedOn w:val="Default"/>
    <w:link w:val="nagtabelZnak"/>
    <w:uiPriority w:val="99"/>
    <w:rsid w:val="00B11A7E"/>
    <w:pPr>
      <w:tabs>
        <w:tab w:val="left" w:pos="567"/>
      </w:tabs>
      <w:spacing w:after="120"/>
      <w:jc w:val="center"/>
    </w:pPr>
    <w:rPr>
      <w:rFonts w:ascii="Trebuchet MS" w:hAnsi="Trebuchet MS" w:cs="Times New Roman"/>
      <w:b/>
      <w:color w:val="auto"/>
      <w:sz w:val="18"/>
      <w:szCs w:val="18"/>
      <w:lang w:eastAsia="en-US"/>
    </w:rPr>
  </w:style>
  <w:style w:type="character" w:customStyle="1" w:styleId="nagwek4KraZnak">
    <w:name w:val="nagłówek 4 Kra Znak"/>
    <w:link w:val="nagwek4Kra"/>
    <w:uiPriority w:val="99"/>
    <w:locked/>
    <w:rsid w:val="00B03543"/>
    <w:rPr>
      <w:rFonts w:ascii="Trebuchet MS" w:hAnsi="Trebuchet MS"/>
      <w:b/>
      <w:i/>
      <w:color w:val="333366"/>
      <w:sz w:val="26"/>
    </w:rPr>
  </w:style>
  <w:style w:type="paragraph" w:customStyle="1" w:styleId="GOMpodpistab">
    <w:name w:val="GOM_podpis tab"/>
    <w:basedOn w:val="podpistabK"/>
    <w:link w:val="GOMpodpistabZnak"/>
    <w:uiPriority w:val="99"/>
    <w:rsid w:val="00F55057"/>
    <w:pPr>
      <w:jc w:val="both"/>
    </w:pPr>
    <w:rPr>
      <w:rFonts w:ascii="Calibri" w:hAnsi="Calibri"/>
      <w:sz w:val="18"/>
    </w:rPr>
  </w:style>
  <w:style w:type="character" w:customStyle="1" w:styleId="DefaultZnak">
    <w:name w:val="Default Znak"/>
    <w:link w:val="Default"/>
    <w:uiPriority w:val="99"/>
    <w:locked/>
    <w:rsid w:val="00B03543"/>
    <w:rPr>
      <w:rFonts w:ascii="Arial" w:hAnsi="Arial"/>
      <w:color w:val="000000"/>
      <w:sz w:val="24"/>
      <w:lang w:val="pl-PL" w:eastAsia="pl-PL"/>
    </w:rPr>
  </w:style>
  <w:style w:type="character" w:customStyle="1" w:styleId="nagtabelZnak">
    <w:name w:val="nagł tabel Znak"/>
    <w:link w:val="nagtabelKra"/>
    <w:uiPriority w:val="99"/>
    <w:locked/>
    <w:rsid w:val="00B03543"/>
    <w:rPr>
      <w:rFonts w:ascii="Arial" w:hAnsi="Arial"/>
      <w:color w:val="000000"/>
      <w:sz w:val="24"/>
      <w:lang w:val="pl-PL" w:eastAsia="pl-PL"/>
    </w:rPr>
  </w:style>
  <w:style w:type="character" w:customStyle="1" w:styleId="CaptionChar">
    <w:name w:val="Caption Char"/>
    <w:aliases w:val="Legenda Znak Char,Legenda Znak Znak Znak Char,Legenda Znak Znak Znak Znak Char,Legenda Znak Znak Znak Znak Znak Znak Char,Legenda Znak Znak Znak Znak Znak Znak Znak Char,Legenda Znak Znak Z Char"/>
    <w:link w:val="Caption"/>
    <w:uiPriority w:val="99"/>
    <w:locked/>
    <w:rsid w:val="00273DD5"/>
    <w:rPr>
      <w:rFonts w:ascii="Trebuchet MS" w:hAnsi="Trebuchet MS"/>
      <w:i/>
      <w:sz w:val="18"/>
    </w:rPr>
  </w:style>
  <w:style w:type="character" w:customStyle="1" w:styleId="GOMpodpistabZnak">
    <w:name w:val="GOM_podpis tab Znak"/>
    <w:link w:val="GOMpodpistab"/>
    <w:uiPriority w:val="99"/>
    <w:locked/>
    <w:rsid w:val="00F55057"/>
    <w:rPr>
      <w:rFonts w:ascii="Calibri" w:hAnsi="Calibri"/>
      <w:i/>
      <w:sz w:val="16"/>
    </w:rPr>
  </w:style>
  <w:style w:type="paragraph" w:customStyle="1" w:styleId="GOMnagspis">
    <w:name w:val="GOM_nag_spis"/>
    <w:basedOn w:val="Heading1"/>
    <w:next w:val="GOMnormal"/>
    <w:link w:val="GOMnagspisZnak"/>
    <w:uiPriority w:val="99"/>
    <w:rsid w:val="00FA5365"/>
    <w:pPr>
      <w:keepLines w:val="0"/>
      <w:tabs>
        <w:tab w:val="left" w:pos="567"/>
      </w:tabs>
      <w:suppressAutoHyphens/>
      <w:spacing w:before="360" w:after="240"/>
      <w:ind w:left="431" w:hanging="431"/>
    </w:pPr>
    <w:rPr>
      <w:rFonts w:ascii="Calibri" w:hAnsi="Calibri" w:cs="Arial"/>
      <w:color w:val="003399"/>
      <w:kern w:val="28"/>
      <w:szCs w:val="32"/>
      <w:lang w:eastAsia="ar-SA"/>
    </w:rPr>
  </w:style>
  <w:style w:type="character" w:customStyle="1" w:styleId="GOMnagspisZnak">
    <w:name w:val="GOM_nag_spis Znak"/>
    <w:link w:val="GOMnagspis"/>
    <w:uiPriority w:val="99"/>
    <w:locked/>
    <w:rsid w:val="00FA5365"/>
    <w:rPr>
      <w:rFonts w:ascii="Calibri" w:hAnsi="Calibri"/>
      <w:b/>
      <w:color w:val="003399"/>
      <w:kern w:val="28"/>
      <w:sz w:val="32"/>
      <w:lang w:val="x-none" w:eastAsia="ar-SA" w:bidi="ar-SA"/>
    </w:rPr>
  </w:style>
  <w:style w:type="paragraph" w:customStyle="1" w:styleId="naglowek3">
    <w:name w:val="naglowek 3"/>
    <w:basedOn w:val="Heading2"/>
    <w:link w:val="naglowek3Znak"/>
    <w:uiPriority w:val="99"/>
    <w:rsid w:val="009E07C8"/>
    <w:pPr>
      <w:pBdr>
        <w:top w:val="single" w:sz="2" w:space="1" w:color="000000" w:shadow="1"/>
        <w:left w:val="single" w:sz="2" w:space="1" w:color="000000" w:shadow="1"/>
        <w:bottom w:val="single" w:sz="2" w:space="1" w:color="000000" w:shadow="1"/>
        <w:right w:val="single" w:sz="2" w:space="1" w:color="000000" w:shadow="1"/>
      </w:pBdr>
      <w:shd w:val="clear" w:color="auto" w:fill="333366"/>
      <w:tabs>
        <w:tab w:val="left" w:pos="567"/>
      </w:tabs>
      <w:suppressAutoHyphens/>
      <w:spacing w:before="403" w:after="233"/>
      <w:ind w:left="720" w:hanging="720"/>
    </w:pPr>
    <w:rPr>
      <w:color w:val="FFFFFF"/>
      <w:sz w:val="20"/>
      <w:lang w:eastAsia="ar-SA"/>
    </w:rPr>
  </w:style>
  <w:style w:type="character" w:customStyle="1" w:styleId="naglowek3Znak">
    <w:name w:val="naglowek 3 Znak"/>
    <w:link w:val="naglowek3"/>
    <w:uiPriority w:val="99"/>
    <w:locked/>
    <w:rsid w:val="0033524B"/>
    <w:rPr>
      <w:rFonts w:ascii="Trebuchet MS" w:hAnsi="Trebuchet MS"/>
      <w:b/>
      <w:i/>
      <w:caps/>
      <w:color w:val="FFFFFF"/>
      <w:sz w:val="24"/>
      <w:shd w:val="clear" w:color="auto" w:fill="333366"/>
      <w:lang w:val="x-none" w:eastAsia="ar-SA" w:bidi="ar-SA"/>
    </w:rPr>
  </w:style>
  <w:style w:type="paragraph" w:customStyle="1" w:styleId="Knagl1">
    <w:name w:val="Knagl1"/>
    <w:basedOn w:val="GOMnagspis"/>
    <w:link w:val="Knagl1Znak"/>
    <w:uiPriority w:val="99"/>
    <w:rsid w:val="00907CB2"/>
    <w:pPr>
      <w:numPr>
        <w:numId w:val="19"/>
      </w:numPr>
      <w:ind w:left="720"/>
    </w:pPr>
  </w:style>
  <w:style w:type="paragraph" w:customStyle="1" w:styleId="GOMnagl1">
    <w:name w:val="GOM_nagl1"/>
    <w:basedOn w:val="Styl1"/>
    <w:next w:val="GOMnagl2"/>
    <w:link w:val="GOMnagl1Znak"/>
    <w:uiPriority w:val="99"/>
    <w:rsid w:val="00C53C9A"/>
    <w:pPr>
      <w:numPr>
        <w:numId w:val="25"/>
      </w:numPr>
      <w:spacing w:before="0" w:after="240"/>
      <w:ind w:left="786"/>
    </w:pPr>
    <w:rPr>
      <w:rFonts w:ascii="Calibri" w:hAnsi="Calibri"/>
      <w:color w:val="003399"/>
      <w:sz w:val="32"/>
      <w:szCs w:val="40"/>
    </w:rPr>
  </w:style>
  <w:style w:type="character" w:customStyle="1" w:styleId="Knagl1Znak">
    <w:name w:val="Knagl1 Znak"/>
    <w:link w:val="Knagl1"/>
    <w:uiPriority w:val="99"/>
    <w:locked/>
    <w:rsid w:val="00907CB2"/>
    <w:rPr>
      <w:rFonts w:ascii="Calibri" w:hAnsi="Calibri" w:cs="Arial"/>
      <w:b/>
      <w:bCs/>
      <w:color w:val="003399"/>
      <w:kern w:val="28"/>
      <w:sz w:val="28"/>
      <w:szCs w:val="32"/>
      <w:lang w:eastAsia="ar-SA"/>
    </w:rPr>
  </w:style>
  <w:style w:type="paragraph" w:customStyle="1" w:styleId="Knagl32">
    <w:name w:val="Knagl3.2"/>
    <w:basedOn w:val="naglowek3"/>
    <w:link w:val="Knagl32Znak"/>
    <w:uiPriority w:val="99"/>
    <w:rsid w:val="008808C8"/>
    <w:pPr>
      <w:spacing w:before="240" w:after="120"/>
      <w:ind w:left="0" w:firstLine="0"/>
    </w:pPr>
  </w:style>
  <w:style w:type="character" w:customStyle="1" w:styleId="GOMnagl1Znak">
    <w:name w:val="GOM_nagl1 Znak"/>
    <w:link w:val="GOMnagl1"/>
    <w:uiPriority w:val="99"/>
    <w:locked/>
    <w:rsid w:val="00C53C9A"/>
    <w:rPr>
      <w:rFonts w:ascii="Calibri" w:hAnsi="Calibri"/>
      <w:b/>
      <w:bCs/>
      <w:iCs/>
      <w:caps/>
      <w:color w:val="003399"/>
      <w:sz w:val="32"/>
      <w:szCs w:val="40"/>
    </w:rPr>
  </w:style>
  <w:style w:type="paragraph" w:customStyle="1" w:styleId="Kwypunkt">
    <w:name w:val="Kwypunkt"/>
    <w:basedOn w:val="normalBP"/>
    <w:link w:val="KwypunktZnak"/>
    <w:uiPriority w:val="99"/>
    <w:rsid w:val="001801B2"/>
    <w:pPr>
      <w:numPr>
        <w:numId w:val="20"/>
      </w:numPr>
      <w:spacing w:line="240" w:lineRule="auto"/>
    </w:pPr>
    <w:rPr>
      <w:rFonts w:ascii="Trebuchet MS" w:hAnsi="Trebuchet MS"/>
      <w:sz w:val="20"/>
      <w:szCs w:val="20"/>
    </w:rPr>
  </w:style>
  <w:style w:type="character" w:customStyle="1" w:styleId="Knagl32Znak">
    <w:name w:val="Knagl3.2 Znak"/>
    <w:link w:val="Knagl32"/>
    <w:uiPriority w:val="99"/>
    <w:locked/>
    <w:rsid w:val="008808C8"/>
    <w:rPr>
      <w:rFonts w:ascii="Trebuchet MS" w:hAnsi="Trebuchet MS"/>
      <w:b/>
      <w:i/>
      <w:caps/>
      <w:color w:val="FFFFFF"/>
      <w:sz w:val="24"/>
      <w:shd w:val="clear" w:color="auto" w:fill="808080"/>
      <w:lang w:val="x-none" w:eastAsia="ar-SA" w:bidi="ar-SA"/>
    </w:rPr>
  </w:style>
  <w:style w:type="paragraph" w:customStyle="1" w:styleId="Kpodtytul">
    <w:name w:val="Kpodtytul"/>
    <w:basedOn w:val="Nagowek3"/>
    <w:link w:val="KpodtytulZnak"/>
    <w:uiPriority w:val="99"/>
    <w:rsid w:val="0068262C"/>
    <w:pPr>
      <w:numPr>
        <w:numId w:val="0"/>
      </w:numPr>
      <w:ind w:left="360" w:hanging="360"/>
    </w:pPr>
    <w:rPr>
      <w:rFonts w:ascii="Trebuchet MS" w:hAnsi="Trebuchet MS"/>
      <w:i w:val="0"/>
      <w:color w:val="333366"/>
      <w:sz w:val="22"/>
      <w:szCs w:val="22"/>
    </w:rPr>
  </w:style>
  <w:style w:type="character" w:customStyle="1" w:styleId="KwypunktZnak">
    <w:name w:val="Kwypunkt Znak"/>
    <w:link w:val="Kwypunkt"/>
    <w:uiPriority w:val="99"/>
    <w:locked/>
    <w:rsid w:val="001801B2"/>
    <w:rPr>
      <w:rFonts w:ascii="Trebuchet MS" w:hAnsi="Trebuchet MS"/>
      <w:sz w:val="20"/>
      <w:szCs w:val="20"/>
    </w:rPr>
  </w:style>
  <w:style w:type="paragraph" w:customStyle="1" w:styleId="Ktytul">
    <w:name w:val="Ktytul"/>
    <w:basedOn w:val="Kpodtytul"/>
    <w:link w:val="KtytulZnak"/>
    <w:uiPriority w:val="99"/>
    <w:rsid w:val="0068262C"/>
  </w:style>
  <w:style w:type="character" w:customStyle="1" w:styleId="KpodtytulZnak">
    <w:name w:val="Kpodtytul Znak"/>
    <w:link w:val="Kpodtytul"/>
    <w:uiPriority w:val="99"/>
    <w:locked/>
    <w:rsid w:val="0068262C"/>
    <w:rPr>
      <w:rFonts w:ascii="Trebuchet MS" w:hAnsi="Trebuchet MS"/>
      <w:b/>
      <w:i/>
      <w:color w:val="333366"/>
      <w:sz w:val="22"/>
    </w:rPr>
  </w:style>
  <w:style w:type="paragraph" w:customStyle="1" w:styleId="GOMpowyr">
    <w:name w:val="GOM_powyr"/>
    <w:basedOn w:val="normalnyakapit"/>
    <w:next w:val="GOMnormal"/>
    <w:link w:val="GOMpowyrZnak"/>
    <w:uiPriority w:val="99"/>
    <w:rsid w:val="00376873"/>
    <w:pPr>
      <w:spacing w:before="240" w:after="120" w:line="240" w:lineRule="auto"/>
    </w:pPr>
    <w:rPr>
      <w:rFonts w:ascii="Calibri" w:hAnsi="Calibri"/>
      <w:sz w:val="22"/>
      <w:szCs w:val="18"/>
    </w:rPr>
  </w:style>
  <w:style w:type="character" w:customStyle="1" w:styleId="KtytulZnak">
    <w:name w:val="Ktytul Znak"/>
    <w:link w:val="Ktytul"/>
    <w:uiPriority w:val="99"/>
    <w:locked/>
    <w:rsid w:val="0068262C"/>
    <w:rPr>
      <w:rFonts w:ascii="Trebuchet MS" w:hAnsi="Trebuchet MS"/>
      <w:b/>
      <w:i/>
      <w:color w:val="333366"/>
      <w:sz w:val="22"/>
    </w:rPr>
  </w:style>
  <w:style w:type="paragraph" w:customStyle="1" w:styleId="GOMtytul">
    <w:name w:val="GOM_tytul"/>
    <w:basedOn w:val="Normal"/>
    <w:link w:val="GOMtytulZnak"/>
    <w:uiPriority w:val="99"/>
    <w:rsid w:val="00047165"/>
    <w:pPr>
      <w:autoSpaceDE w:val="0"/>
      <w:autoSpaceDN w:val="0"/>
      <w:adjustRightInd w:val="0"/>
      <w:spacing w:line="276" w:lineRule="auto"/>
      <w:jc w:val="center"/>
    </w:pPr>
    <w:rPr>
      <w:rFonts w:ascii="Calibri" w:hAnsi="Calibri"/>
      <w:b/>
      <w:sz w:val="52"/>
      <w:szCs w:val="52"/>
    </w:rPr>
  </w:style>
  <w:style w:type="character" w:customStyle="1" w:styleId="GOMpowyrZnak">
    <w:name w:val="GOM_powyr Znak"/>
    <w:link w:val="GOMpowyr"/>
    <w:uiPriority w:val="99"/>
    <w:locked/>
    <w:rsid w:val="00376873"/>
    <w:rPr>
      <w:rFonts w:ascii="Calibri" w:hAnsi="Calibri"/>
      <w:b/>
      <w:i/>
      <w:sz w:val="18"/>
    </w:rPr>
  </w:style>
  <w:style w:type="paragraph" w:customStyle="1" w:styleId="GOMnormal">
    <w:name w:val="GOM_normal"/>
    <w:basedOn w:val="normalBP"/>
    <w:link w:val="GOMnormalZnak"/>
    <w:uiPriority w:val="99"/>
    <w:rsid w:val="00376873"/>
    <w:pPr>
      <w:spacing w:before="120" w:after="120" w:line="240" w:lineRule="auto"/>
    </w:pPr>
    <w:rPr>
      <w:rFonts w:ascii="Calibri" w:hAnsi="Calibri"/>
      <w:sz w:val="20"/>
      <w:szCs w:val="20"/>
    </w:rPr>
  </w:style>
  <w:style w:type="character" w:customStyle="1" w:styleId="GOMtytulZnak">
    <w:name w:val="GOM_tytul Znak"/>
    <w:link w:val="GOMtytul"/>
    <w:uiPriority w:val="99"/>
    <w:locked/>
    <w:rsid w:val="00047165"/>
    <w:rPr>
      <w:rFonts w:ascii="Calibri" w:hAnsi="Calibri"/>
      <w:b/>
      <w:i/>
      <w:color w:val="333366"/>
      <w:sz w:val="52"/>
    </w:rPr>
  </w:style>
  <w:style w:type="character" w:customStyle="1" w:styleId="GOMnormalZnak">
    <w:name w:val="GOM_normal Znak"/>
    <w:link w:val="GOMnormal"/>
    <w:uiPriority w:val="99"/>
    <w:locked/>
    <w:rsid w:val="00376873"/>
    <w:rPr>
      <w:rFonts w:ascii="Calibri" w:hAnsi="Calibri"/>
      <w:sz w:val="22"/>
    </w:rPr>
  </w:style>
  <w:style w:type="paragraph" w:customStyle="1" w:styleId="Knagl22">
    <w:name w:val="Knagl2.2"/>
    <w:basedOn w:val="nagwek2Kra"/>
    <w:link w:val="Knagl22Znak"/>
    <w:uiPriority w:val="99"/>
    <w:rsid w:val="00B81580"/>
    <w:pPr>
      <w:ind w:left="720" w:hanging="360"/>
    </w:pPr>
  </w:style>
  <w:style w:type="paragraph" w:customStyle="1" w:styleId="Ktabela">
    <w:name w:val="Ktabela"/>
    <w:basedOn w:val="Caption"/>
    <w:link w:val="KtabelaZnak"/>
    <w:uiPriority w:val="99"/>
    <w:rsid w:val="00B81580"/>
    <w:rPr>
      <w:szCs w:val="16"/>
    </w:rPr>
  </w:style>
  <w:style w:type="character" w:customStyle="1" w:styleId="Knagl22Znak">
    <w:name w:val="Knagl2.2 Znak"/>
    <w:link w:val="Knagl22"/>
    <w:uiPriority w:val="99"/>
    <w:locked/>
    <w:rsid w:val="00CE0EC1"/>
    <w:rPr>
      <w:rFonts w:ascii="Trebuchet MS" w:hAnsi="Trebuchet MS"/>
      <w:b/>
      <w:color w:val="333366"/>
      <w:sz w:val="24"/>
      <w:lang w:val="pl-PL" w:eastAsia="pl-PL"/>
    </w:rPr>
  </w:style>
  <w:style w:type="character" w:customStyle="1" w:styleId="KtabelaZnak">
    <w:name w:val="Ktabela Znak"/>
    <w:link w:val="Ktabela"/>
    <w:uiPriority w:val="99"/>
    <w:locked/>
    <w:rsid w:val="00B81580"/>
    <w:rPr>
      <w:rFonts w:ascii="Trebuchet MS" w:hAnsi="Trebuchet MS"/>
      <w:i/>
      <w:sz w:val="16"/>
    </w:rPr>
  </w:style>
  <w:style w:type="paragraph" w:customStyle="1" w:styleId="GOMwyr">
    <w:name w:val="GOM_wyr"/>
    <w:basedOn w:val="nagwek2Kra"/>
    <w:next w:val="GOMnormal"/>
    <w:uiPriority w:val="99"/>
    <w:rsid w:val="00EE7903"/>
    <w:pPr>
      <w:numPr>
        <w:numId w:val="0"/>
      </w:numPr>
    </w:pPr>
    <w:rPr>
      <w:rFonts w:ascii="Calibri" w:hAnsi="Calibri"/>
      <w:color w:val="003399"/>
      <w:sz w:val="22"/>
    </w:rPr>
  </w:style>
  <w:style w:type="paragraph" w:customStyle="1" w:styleId="Kpunkty">
    <w:name w:val="K punkty"/>
    <w:basedOn w:val="normalKra"/>
    <w:link w:val="KpunktyZnak"/>
    <w:uiPriority w:val="99"/>
    <w:rsid w:val="009C70A1"/>
    <w:pPr>
      <w:spacing w:before="0" w:after="0"/>
      <w:ind w:left="357"/>
    </w:pPr>
  </w:style>
  <w:style w:type="character" w:customStyle="1" w:styleId="KpunktyZnak">
    <w:name w:val="K punkty Znak"/>
    <w:link w:val="Kpunkty"/>
    <w:uiPriority w:val="99"/>
    <w:locked/>
    <w:rsid w:val="009C70A1"/>
    <w:rPr>
      <w:rFonts w:ascii="Trebuchet MS" w:hAnsi="Trebuchet MS"/>
      <w:b/>
      <w:color w:val="365F91"/>
      <w:kern w:val="32"/>
      <w:sz w:val="32"/>
    </w:rPr>
  </w:style>
  <w:style w:type="paragraph" w:customStyle="1" w:styleId="Krawyl">
    <w:name w:val="Kra wyl"/>
    <w:basedOn w:val="normalKra"/>
    <w:link w:val="KrawylZnak"/>
    <w:uiPriority w:val="99"/>
    <w:rsid w:val="00520C42"/>
    <w:pPr>
      <w:spacing w:before="0" w:after="0"/>
    </w:pPr>
  </w:style>
  <w:style w:type="character" w:customStyle="1" w:styleId="KrawylZnak">
    <w:name w:val="Kra wyl Znak"/>
    <w:link w:val="Krawyl"/>
    <w:uiPriority w:val="99"/>
    <w:locked/>
    <w:rsid w:val="00520C42"/>
    <w:rPr>
      <w:rFonts w:ascii="Trebuchet MS" w:hAnsi="Trebuchet MS"/>
      <w:b/>
      <w:color w:val="365F91"/>
      <w:kern w:val="32"/>
      <w:sz w:val="32"/>
    </w:rPr>
  </w:style>
  <w:style w:type="paragraph" w:customStyle="1" w:styleId="Kpunkty0">
    <w:name w:val="Kpunkty"/>
    <w:basedOn w:val="normalKra"/>
    <w:link w:val="KpunktyZnak0"/>
    <w:uiPriority w:val="99"/>
    <w:rsid w:val="00F537F5"/>
    <w:pPr>
      <w:spacing w:before="0" w:after="0"/>
    </w:pPr>
  </w:style>
  <w:style w:type="character" w:customStyle="1" w:styleId="KpunktyZnak0">
    <w:name w:val="Kpunkty Znak"/>
    <w:link w:val="Kpunkty0"/>
    <w:uiPriority w:val="99"/>
    <w:locked/>
    <w:rsid w:val="00F537F5"/>
    <w:rPr>
      <w:rFonts w:ascii="Trebuchet MS" w:hAnsi="Trebuchet MS"/>
      <w:b/>
      <w:color w:val="365F91"/>
      <w:kern w:val="32"/>
      <w:sz w:val="32"/>
    </w:rPr>
  </w:style>
  <w:style w:type="table" w:customStyle="1" w:styleId="Tabela-Siatka1">
    <w:name w:val="Tabela - Siatka1"/>
    <w:uiPriority w:val="99"/>
    <w:rsid w:val="00D10775"/>
    <w:rPr>
      <w:rFonts w:ascii="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2lsk">
    <w:name w:val="Styl_2_Śląsk"/>
    <w:basedOn w:val="Knagl22"/>
    <w:link w:val="Styl2lskZnak"/>
    <w:uiPriority w:val="99"/>
    <w:rsid w:val="00A840B9"/>
    <w:pPr>
      <w:numPr>
        <w:numId w:val="0"/>
      </w:numPr>
    </w:pPr>
    <w:rPr>
      <w:caps/>
      <w:color w:val="auto"/>
    </w:rPr>
  </w:style>
  <w:style w:type="character" w:customStyle="1" w:styleId="Styl2lskZnak">
    <w:name w:val="Styl_2_Śląsk Znak"/>
    <w:link w:val="Styl2lsk"/>
    <w:uiPriority w:val="99"/>
    <w:locked/>
    <w:rsid w:val="00A840B9"/>
    <w:rPr>
      <w:rFonts w:ascii="Trebuchet MS" w:hAnsi="Trebuchet MS"/>
      <w:b/>
      <w:caps/>
      <w:color w:val="333366"/>
      <w:sz w:val="24"/>
    </w:rPr>
  </w:style>
  <w:style w:type="paragraph" w:customStyle="1" w:styleId="strumienntekstu">
    <w:name w:val="strumienn_tekstu"/>
    <w:basedOn w:val="Normal"/>
    <w:uiPriority w:val="99"/>
    <w:rsid w:val="00860BAB"/>
    <w:pPr>
      <w:spacing w:after="120" w:line="360" w:lineRule="auto"/>
      <w:ind w:firstLine="454"/>
      <w:jc w:val="both"/>
    </w:pPr>
  </w:style>
  <w:style w:type="paragraph" w:customStyle="1" w:styleId="tytulltabeli">
    <w:name w:val="tytull_tabeli"/>
    <w:basedOn w:val="Normal"/>
    <w:link w:val="tytulltabeliZnak"/>
    <w:uiPriority w:val="99"/>
    <w:rsid w:val="00135D6E"/>
    <w:pPr>
      <w:spacing w:after="120"/>
      <w:jc w:val="both"/>
    </w:pPr>
    <w:rPr>
      <w:sz w:val="20"/>
      <w:szCs w:val="20"/>
    </w:rPr>
  </w:style>
  <w:style w:type="character" w:customStyle="1" w:styleId="tytulltabeliZnak">
    <w:name w:val="tytull_tabeli Znak"/>
    <w:link w:val="tytulltabeli"/>
    <w:uiPriority w:val="99"/>
    <w:locked/>
    <w:rsid w:val="00135D6E"/>
  </w:style>
  <w:style w:type="paragraph" w:customStyle="1" w:styleId="StylTrebuchetMS10ptWyjustowany">
    <w:name w:val="Styl Trebuchet MS 10 pt Wyjustowany"/>
    <w:basedOn w:val="Normal"/>
    <w:uiPriority w:val="99"/>
    <w:rsid w:val="00B45955"/>
    <w:pPr>
      <w:jc w:val="both"/>
    </w:pPr>
    <w:rPr>
      <w:rFonts w:ascii="Trebuchet MS" w:hAnsi="Trebuchet MS"/>
      <w:sz w:val="20"/>
      <w:szCs w:val="20"/>
    </w:rPr>
  </w:style>
  <w:style w:type="character" w:customStyle="1" w:styleId="tekst">
    <w:name w:val="tekst"/>
    <w:uiPriority w:val="99"/>
    <w:rsid w:val="00E601C0"/>
  </w:style>
  <w:style w:type="character" w:customStyle="1" w:styleId="KnormalZnakZnakZnak">
    <w:name w:val="Knormal Znak Znak Znak"/>
    <w:link w:val="KnormalZnakZnak"/>
    <w:uiPriority w:val="99"/>
    <w:locked/>
    <w:rsid w:val="00190C8B"/>
    <w:rPr>
      <w:rFonts w:ascii="Trebuchet MS" w:hAnsi="Trebuchet MS"/>
    </w:rPr>
  </w:style>
  <w:style w:type="paragraph" w:customStyle="1" w:styleId="KnormalZnakZnak">
    <w:name w:val="Knormal Znak Znak"/>
    <w:basedOn w:val="Normal"/>
    <w:link w:val="KnormalZnakZnakZnak"/>
    <w:uiPriority w:val="99"/>
    <w:rsid w:val="00190C8B"/>
    <w:pPr>
      <w:spacing w:before="120" w:after="120"/>
      <w:jc w:val="both"/>
    </w:pPr>
    <w:rPr>
      <w:rFonts w:ascii="Trebuchet MS" w:hAnsi="Trebuchet MS"/>
      <w:sz w:val="20"/>
      <w:szCs w:val="20"/>
    </w:rPr>
  </w:style>
  <w:style w:type="paragraph" w:customStyle="1" w:styleId="podpistabK">
    <w:name w:val="podpis tab K"/>
    <w:basedOn w:val="Caption"/>
    <w:link w:val="podpistabKZnak"/>
    <w:uiPriority w:val="99"/>
    <w:rsid w:val="008C1101"/>
    <w:rPr>
      <w:bCs w:val="0"/>
      <w:szCs w:val="16"/>
    </w:rPr>
  </w:style>
  <w:style w:type="character" w:customStyle="1" w:styleId="podpistabKZnak">
    <w:name w:val="podpis tab K Znak"/>
    <w:link w:val="podpistabK"/>
    <w:uiPriority w:val="99"/>
    <w:locked/>
    <w:rsid w:val="008C1101"/>
    <w:rPr>
      <w:rFonts w:ascii="Trebuchet MS" w:hAnsi="Trebuchet MS"/>
      <w:i/>
      <w:sz w:val="16"/>
    </w:rPr>
  </w:style>
  <w:style w:type="paragraph" w:customStyle="1" w:styleId="WW-header">
    <w:name w:val="WW-header"/>
    <w:basedOn w:val="Normal"/>
    <w:next w:val="BodyText"/>
    <w:uiPriority w:val="99"/>
    <w:rsid w:val="00C87055"/>
    <w:pPr>
      <w:keepNext/>
      <w:widowControl w:val="0"/>
      <w:autoSpaceDE w:val="0"/>
      <w:autoSpaceDN w:val="0"/>
      <w:adjustRightInd w:val="0"/>
      <w:spacing w:before="240" w:after="120"/>
    </w:pPr>
    <w:rPr>
      <w:rFonts w:ascii="Arial" w:hAnsi="Arial" w:cs="Arial"/>
      <w:sz w:val="28"/>
      <w:szCs w:val="28"/>
    </w:rPr>
  </w:style>
  <w:style w:type="paragraph" w:customStyle="1" w:styleId="j">
    <w:name w:val="j"/>
    <w:basedOn w:val="Normal"/>
    <w:uiPriority w:val="99"/>
    <w:rsid w:val="00C87055"/>
    <w:pPr>
      <w:spacing w:before="100" w:beforeAutospacing="1" w:after="100" w:afterAutospacing="1"/>
    </w:pPr>
  </w:style>
  <w:style w:type="paragraph" w:customStyle="1" w:styleId="Punkty0">
    <w:name w:val="Punkty"/>
    <w:basedOn w:val="Normal"/>
    <w:uiPriority w:val="99"/>
    <w:rsid w:val="00C87055"/>
    <w:pPr>
      <w:tabs>
        <w:tab w:val="num" w:pos="360"/>
      </w:tabs>
      <w:spacing w:before="60" w:after="60" w:line="360" w:lineRule="auto"/>
      <w:ind w:left="360" w:hanging="360"/>
      <w:jc w:val="both"/>
    </w:pPr>
    <w:rPr>
      <w:rFonts w:ascii="Arial" w:hAnsi="Arial"/>
      <w:szCs w:val="20"/>
    </w:rPr>
  </w:style>
  <w:style w:type="paragraph" w:customStyle="1" w:styleId="Normalny3">
    <w:name w:val="Normalny+3"/>
    <w:basedOn w:val="Default"/>
    <w:next w:val="Default"/>
    <w:uiPriority w:val="99"/>
    <w:rsid w:val="00535479"/>
    <w:rPr>
      <w:rFonts w:ascii="Times New Roman" w:hAnsi="Times New Roman" w:cs="Times New Roman"/>
      <w:color w:val="auto"/>
    </w:rPr>
  </w:style>
  <w:style w:type="paragraph" w:customStyle="1" w:styleId="nagwek10">
    <w:name w:val="nagwek1"/>
    <w:basedOn w:val="Normal"/>
    <w:uiPriority w:val="99"/>
    <w:rsid w:val="009E5E0C"/>
    <w:pPr>
      <w:spacing w:before="100" w:beforeAutospacing="1" w:after="100" w:afterAutospacing="1"/>
    </w:pPr>
    <w:rPr>
      <w:rFonts w:ascii="Trebuchet MS" w:hAnsi="Trebuchet MS" w:cs="Trebuchet MS"/>
    </w:rPr>
  </w:style>
  <w:style w:type="paragraph" w:customStyle="1" w:styleId="Sstrefa">
    <w:name w:val="S_strefa"/>
    <w:basedOn w:val="GOMtytul"/>
    <w:link w:val="SstrefaZnak"/>
    <w:uiPriority w:val="99"/>
    <w:rsid w:val="00BE3363"/>
    <w:rPr>
      <w:u w:val="single"/>
    </w:rPr>
  </w:style>
  <w:style w:type="character" w:customStyle="1" w:styleId="SstrefaZnak">
    <w:name w:val="S_strefa Znak"/>
    <w:link w:val="Sstrefa"/>
    <w:uiPriority w:val="99"/>
    <w:locked/>
    <w:rsid w:val="00BE3363"/>
    <w:rPr>
      <w:rFonts w:ascii="Calibri" w:hAnsi="Calibri"/>
      <w:b/>
      <w:i/>
      <w:color w:val="333366"/>
      <w:sz w:val="52"/>
      <w:u w:val="single"/>
    </w:rPr>
  </w:style>
  <w:style w:type="character" w:customStyle="1" w:styleId="bigblack1">
    <w:name w:val="bigblack1"/>
    <w:uiPriority w:val="99"/>
    <w:rsid w:val="00AD6D1E"/>
    <w:rPr>
      <w:rFonts w:ascii="Tahoma" w:hAnsi="Tahoma"/>
      <w:color w:val="000000"/>
      <w:sz w:val="27"/>
      <w:u w:val="none"/>
      <w:effect w:val="none"/>
      <w:shd w:val="clear" w:color="auto" w:fill="auto"/>
    </w:rPr>
  </w:style>
  <w:style w:type="paragraph" w:customStyle="1" w:styleId="tytuaktu">
    <w:name w:val="tytuaktu"/>
    <w:basedOn w:val="Normal"/>
    <w:uiPriority w:val="99"/>
    <w:rsid w:val="00884C8D"/>
    <w:pPr>
      <w:spacing w:before="100" w:beforeAutospacing="1" w:after="100" w:afterAutospacing="1"/>
    </w:pPr>
    <w:rPr>
      <w:color w:val="000000"/>
    </w:rPr>
  </w:style>
  <w:style w:type="paragraph" w:customStyle="1" w:styleId="kpodty">
    <w:name w:val="kpodty"/>
    <w:basedOn w:val="Normal"/>
    <w:uiPriority w:val="99"/>
    <w:rsid w:val="00162A17"/>
    <w:pPr>
      <w:spacing w:before="100" w:beforeAutospacing="1" w:after="100" w:afterAutospacing="1"/>
    </w:pPr>
  </w:style>
  <w:style w:type="paragraph" w:customStyle="1" w:styleId="knormal">
    <w:name w:val="knormal"/>
    <w:basedOn w:val="Normal"/>
    <w:uiPriority w:val="99"/>
    <w:rsid w:val="00162A17"/>
    <w:pPr>
      <w:spacing w:before="100" w:beforeAutospacing="1" w:after="100" w:afterAutospacing="1"/>
    </w:pPr>
  </w:style>
  <w:style w:type="paragraph" w:customStyle="1" w:styleId="a0">
    <w:name w:val="ŚŚ"/>
    <w:basedOn w:val="Normal"/>
    <w:uiPriority w:val="99"/>
    <w:rsid w:val="00162A17"/>
    <w:pPr>
      <w:spacing w:line="360" w:lineRule="auto"/>
      <w:jc w:val="both"/>
    </w:pPr>
    <w:rPr>
      <w:szCs w:val="20"/>
    </w:rPr>
  </w:style>
  <w:style w:type="paragraph" w:customStyle="1" w:styleId="StandardowyStandardowy1Standardowy111">
    <w:name w:val="Standardowy.Standardowy1.Standardowy111"/>
    <w:uiPriority w:val="99"/>
    <w:rsid w:val="00162A17"/>
    <w:pPr>
      <w:autoSpaceDE w:val="0"/>
      <w:autoSpaceDN w:val="0"/>
    </w:pPr>
    <w:rPr>
      <w:sz w:val="24"/>
      <w:szCs w:val="24"/>
    </w:rPr>
  </w:style>
  <w:style w:type="paragraph" w:customStyle="1" w:styleId="podpistabel">
    <w:name w:val="podpis_tabel"/>
    <w:basedOn w:val="Normal"/>
    <w:link w:val="podpistabelZnak"/>
    <w:uiPriority w:val="99"/>
    <w:rsid w:val="00E611CE"/>
    <w:pPr>
      <w:spacing w:before="120" w:after="120"/>
    </w:pPr>
    <w:rPr>
      <w:rFonts w:ascii="Trebuchet MS" w:hAnsi="Trebuchet MS"/>
      <w:i/>
      <w:sz w:val="16"/>
      <w:szCs w:val="18"/>
      <w:lang w:eastAsia="en-US"/>
    </w:rPr>
  </w:style>
  <w:style w:type="character" w:customStyle="1" w:styleId="podpistabelZnak">
    <w:name w:val="podpis_tabel Znak"/>
    <w:link w:val="podpistabel"/>
    <w:uiPriority w:val="99"/>
    <w:locked/>
    <w:rsid w:val="00E611CE"/>
    <w:rPr>
      <w:rFonts w:ascii="Trebuchet MS" w:hAnsi="Trebuchet MS"/>
      <w:i/>
      <w:sz w:val="18"/>
      <w:lang w:val="x-none" w:eastAsia="en-US"/>
    </w:rPr>
  </w:style>
  <w:style w:type="paragraph" w:customStyle="1" w:styleId="Spodtyt">
    <w:name w:val="S_podtyt"/>
    <w:basedOn w:val="GOMpowyr"/>
    <w:link w:val="SpodtytZnak"/>
    <w:uiPriority w:val="99"/>
    <w:rsid w:val="00A41C21"/>
    <w:rPr>
      <w:color w:val="000000"/>
    </w:rPr>
  </w:style>
  <w:style w:type="character" w:customStyle="1" w:styleId="SpodtytZnak">
    <w:name w:val="S_podtyt Znak"/>
    <w:link w:val="Spodtyt"/>
    <w:uiPriority w:val="99"/>
    <w:locked/>
    <w:rsid w:val="00A41C21"/>
    <w:rPr>
      <w:rFonts w:ascii="Calibri" w:hAnsi="Calibri"/>
      <w:b/>
      <w:i/>
      <w:color w:val="000000"/>
      <w:sz w:val="18"/>
    </w:rPr>
  </w:style>
  <w:style w:type="paragraph" w:customStyle="1" w:styleId="normalKrakw">
    <w:name w:val="normal Kraków"/>
    <w:basedOn w:val="Normal"/>
    <w:link w:val="normalKrakwZnak"/>
    <w:uiPriority w:val="99"/>
    <w:rsid w:val="00904373"/>
    <w:pPr>
      <w:spacing w:before="120" w:after="120"/>
      <w:ind w:left="714" w:hanging="357"/>
      <w:jc w:val="both"/>
    </w:pPr>
    <w:rPr>
      <w:rFonts w:ascii="Trebuchet MS" w:eastAsia="TTE16B21B8t00" w:hAnsi="Trebuchet MS"/>
      <w:sz w:val="20"/>
      <w:szCs w:val="20"/>
    </w:rPr>
  </w:style>
  <w:style w:type="character" w:customStyle="1" w:styleId="normalKrakwZnak">
    <w:name w:val="normal Kraków Znak"/>
    <w:link w:val="normalKrakw"/>
    <w:uiPriority w:val="99"/>
    <w:locked/>
    <w:rsid w:val="00904373"/>
    <w:rPr>
      <w:rFonts w:ascii="Trebuchet MS" w:eastAsia="TTE16B21B8t00" w:hAnsi="Trebuchet MS"/>
    </w:rPr>
  </w:style>
  <w:style w:type="paragraph" w:customStyle="1" w:styleId="nagwek1Krakw">
    <w:name w:val="nagłówek 1 Kraków"/>
    <w:basedOn w:val="Normal"/>
    <w:link w:val="nagwek1KrakwZnak"/>
    <w:uiPriority w:val="99"/>
    <w:rsid w:val="00904373"/>
    <w:pPr>
      <w:keepNext/>
      <w:spacing w:after="240"/>
      <w:ind w:left="714" w:hanging="357"/>
      <w:outlineLvl w:val="1"/>
    </w:pPr>
    <w:rPr>
      <w:rFonts w:ascii="Trebuchet MS" w:hAnsi="Trebuchet MS" w:cs="Arial"/>
      <w:b/>
      <w:bCs/>
      <w:iCs/>
      <w:color w:val="003399"/>
      <w:sz w:val="28"/>
      <w:szCs w:val="28"/>
    </w:rPr>
  </w:style>
  <w:style w:type="character" w:customStyle="1" w:styleId="nagwek1KrakwZnak">
    <w:name w:val="nagłówek 1 Kraków Znak"/>
    <w:link w:val="nagwek1Krakw"/>
    <w:uiPriority w:val="99"/>
    <w:locked/>
    <w:rsid w:val="00904373"/>
    <w:rPr>
      <w:rFonts w:ascii="Trebuchet MS" w:hAnsi="Trebuchet MS"/>
      <w:b/>
      <w:color w:val="003399"/>
      <w:sz w:val="28"/>
    </w:rPr>
  </w:style>
  <w:style w:type="paragraph" w:customStyle="1" w:styleId="nagwek2Krakw">
    <w:name w:val="nagłówek 2 Kraków"/>
    <w:basedOn w:val="Normal"/>
    <w:link w:val="nagwek2KrakwZnak"/>
    <w:uiPriority w:val="99"/>
    <w:rsid w:val="00904373"/>
    <w:pPr>
      <w:keepNext/>
      <w:shd w:val="clear" w:color="auto" w:fill="003399"/>
      <w:spacing w:before="240" w:after="120"/>
      <w:ind w:left="714" w:hanging="357"/>
      <w:outlineLvl w:val="2"/>
    </w:pPr>
    <w:rPr>
      <w:rFonts w:ascii="Trebuchet MS" w:hAnsi="Trebuchet MS" w:cs="Arial"/>
      <w:b/>
      <w:bCs/>
      <w:sz w:val="20"/>
      <w:szCs w:val="20"/>
    </w:rPr>
  </w:style>
  <w:style w:type="character" w:customStyle="1" w:styleId="nagwek2KrakwZnak">
    <w:name w:val="nagłówek 2 Kraków Znak"/>
    <w:link w:val="nagwek2Krakw"/>
    <w:uiPriority w:val="99"/>
    <w:locked/>
    <w:rsid w:val="00904373"/>
    <w:rPr>
      <w:rFonts w:ascii="Trebuchet MS" w:hAnsi="Trebuchet MS"/>
      <w:b/>
      <w:shd w:val="clear" w:color="auto" w:fill="003399"/>
    </w:rPr>
  </w:style>
  <w:style w:type="paragraph" w:customStyle="1" w:styleId="nagwek3Krakw">
    <w:name w:val="nagłówek 3 Kraków"/>
    <w:basedOn w:val="nagwek2Krakw"/>
    <w:next w:val="normalKrakw"/>
    <w:link w:val="nagwek3KrakwZnak"/>
    <w:uiPriority w:val="99"/>
    <w:rsid w:val="00904373"/>
    <w:pPr>
      <w:shd w:val="clear" w:color="auto" w:fill="auto"/>
      <w:ind w:left="1224" w:hanging="504"/>
    </w:pPr>
    <w:rPr>
      <w:color w:val="003399"/>
    </w:rPr>
  </w:style>
  <w:style w:type="character" w:customStyle="1" w:styleId="nagwek3KrakwZnak">
    <w:name w:val="nagłówek 3 Kraków Znak"/>
    <w:link w:val="nagwek3Krakw"/>
    <w:uiPriority w:val="99"/>
    <w:locked/>
    <w:rsid w:val="00904373"/>
    <w:rPr>
      <w:rFonts w:ascii="Trebuchet MS" w:hAnsi="Trebuchet MS"/>
      <w:b/>
      <w:color w:val="003399"/>
      <w:shd w:val="clear" w:color="auto" w:fill="003399"/>
    </w:rPr>
  </w:style>
  <w:style w:type="paragraph" w:customStyle="1" w:styleId="nagtabelKrakw">
    <w:name w:val="nagł_tabel Kraków"/>
    <w:basedOn w:val="Normal"/>
    <w:link w:val="nagtabelKrakwZnak"/>
    <w:uiPriority w:val="99"/>
    <w:rsid w:val="00904373"/>
    <w:pPr>
      <w:ind w:left="714" w:hanging="357"/>
    </w:pPr>
    <w:rPr>
      <w:rFonts w:ascii="Trebuchet MS" w:hAnsi="Trebuchet MS"/>
      <w:b/>
      <w:sz w:val="18"/>
      <w:szCs w:val="18"/>
      <w:lang w:eastAsia="en-US"/>
    </w:rPr>
  </w:style>
  <w:style w:type="character" w:customStyle="1" w:styleId="nagtabelKrakwZnak">
    <w:name w:val="nagł_tabel Kraków Znak"/>
    <w:link w:val="nagtabelKrakw"/>
    <w:uiPriority w:val="99"/>
    <w:locked/>
    <w:rsid w:val="00904373"/>
    <w:rPr>
      <w:rFonts w:ascii="Trebuchet MS" w:hAnsi="Trebuchet MS"/>
      <w:b/>
      <w:sz w:val="18"/>
      <w:lang w:val="x-none" w:eastAsia="en-US"/>
    </w:rPr>
  </w:style>
  <w:style w:type="paragraph" w:customStyle="1" w:styleId="Spodrozdz">
    <w:name w:val="S_podrozdz"/>
    <w:basedOn w:val="GOMtytul"/>
    <w:link w:val="SpodrozdzZnak"/>
    <w:uiPriority w:val="99"/>
    <w:rsid w:val="00615BE4"/>
    <w:rPr>
      <w:smallCaps/>
      <w:sz w:val="22"/>
    </w:rPr>
  </w:style>
  <w:style w:type="character" w:customStyle="1" w:styleId="SpodrozdzZnak">
    <w:name w:val="S_podrozdz Znak"/>
    <w:link w:val="Spodrozdz"/>
    <w:uiPriority w:val="99"/>
    <w:locked/>
    <w:rsid w:val="00615BE4"/>
    <w:rPr>
      <w:rFonts w:ascii="Calibri" w:hAnsi="Calibri"/>
      <w:b/>
      <w:i/>
      <w:smallCaps/>
      <w:color w:val="333366"/>
      <w:sz w:val="52"/>
    </w:rPr>
  </w:style>
  <w:style w:type="paragraph" w:customStyle="1" w:styleId="GOMnagl2">
    <w:name w:val="GOM_nagl2"/>
    <w:basedOn w:val="Knagl1"/>
    <w:next w:val="GOMnormal"/>
    <w:link w:val="GOMnagl2Znak"/>
    <w:uiPriority w:val="99"/>
    <w:rsid w:val="00C53C9A"/>
    <w:pPr>
      <w:numPr>
        <w:ilvl w:val="1"/>
        <w:numId w:val="25"/>
      </w:numPr>
      <w:tabs>
        <w:tab w:val="clear" w:pos="567"/>
        <w:tab w:val="left" w:pos="851"/>
      </w:tabs>
      <w:spacing w:before="240" w:after="120"/>
      <w:ind w:left="1440"/>
      <w:jc w:val="both"/>
    </w:pPr>
    <w:rPr>
      <w:szCs w:val="24"/>
    </w:rPr>
  </w:style>
  <w:style w:type="paragraph" w:customStyle="1" w:styleId="GOMwypkt">
    <w:name w:val="GOM_wypkt"/>
    <w:basedOn w:val="Kwypunkt"/>
    <w:link w:val="GOMwypktZnak"/>
    <w:uiPriority w:val="99"/>
    <w:rsid w:val="00183BB0"/>
    <w:pPr>
      <w:ind w:left="568" w:hanging="284"/>
    </w:pPr>
    <w:rPr>
      <w:rFonts w:ascii="Calibri" w:hAnsi="Calibri"/>
    </w:rPr>
  </w:style>
  <w:style w:type="character" w:customStyle="1" w:styleId="GOMnagl2Znak">
    <w:name w:val="GOM_nagl2 Znak"/>
    <w:link w:val="GOMnagl2"/>
    <w:uiPriority w:val="99"/>
    <w:locked/>
    <w:rsid w:val="00C53C9A"/>
    <w:rPr>
      <w:rFonts w:ascii="Calibri" w:hAnsi="Calibri" w:cs="Arial"/>
      <w:b/>
      <w:bCs/>
      <w:color w:val="003399"/>
      <w:kern w:val="28"/>
      <w:sz w:val="28"/>
      <w:szCs w:val="24"/>
      <w:lang w:eastAsia="ar-SA"/>
    </w:rPr>
  </w:style>
  <w:style w:type="paragraph" w:customStyle="1" w:styleId="Nagwek2Alsk">
    <w:name w:val="Nagłówek 2A Śląsk"/>
    <w:basedOn w:val="GOMtytul"/>
    <w:next w:val="GOMnagl3"/>
    <w:uiPriority w:val="99"/>
    <w:rsid w:val="005B74BF"/>
    <w:rPr>
      <w:sz w:val="22"/>
      <w:szCs w:val="22"/>
    </w:rPr>
  </w:style>
  <w:style w:type="character" w:customStyle="1" w:styleId="GOMwypktZnak">
    <w:name w:val="GOM_wypkt Znak"/>
    <w:link w:val="GOMwypkt"/>
    <w:uiPriority w:val="99"/>
    <w:locked/>
    <w:rsid w:val="00183BB0"/>
    <w:rPr>
      <w:rFonts w:ascii="Calibri" w:hAnsi="Calibri"/>
      <w:lang w:val="pl-PL" w:eastAsia="pl-PL"/>
    </w:rPr>
  </w:style>
  <w:style w:type="paragraph" w:customStyle="1" w:styleId="Podpispodrysunkiem">
    <w:name w:val="Podpis pod rysunkiem"/>
    <w:basedOn w:val="Normal"/>
    <w:next w:val="Normal"/>
    <w:uiPriority w:val="99"/>
    <w:rsid w:val="00915105"/>
    <w:pPr>
      <w:ind w:firstLine="709"/>
      <w:jc w:val="center"/>
    </w:pPr>
    <w:rPr>
      <w:szCs w:val="20"/>
    </w:rPr>
  </w:style>
  <w:style w:type="paragraph" w:customStyle="1" w:styleId="Tekstpodstawowywcity21">
    <w:name w:val="Tekst podstawowy wcięty 21"/>
    <w:basedOn w:val="Normal"/>
    <w:uiPriority w:val="99"/>
    <w:rsid w:val="004F310E"/>
    <w:pPr>
      <w:widowControl w:val="0"/>
      <w:suppressAutoHyphens/>
      <w:ind w:firstLine="708"/>
    </w:pPr>
    <w:rPr>
      <w:rFonts w:eastAsia="Arial Unicode MS"/>
    </w:rPr>
  </w:style>
  <w:style w:type="paragraph" w:customStyle="1" w:styleId="Tekstpodstawowywcity31">
    <w:name w:val="Tekst podstawowy wcięty 31"/>
    <w:basedOn w:val="Normal"/>
    <w:uiPriority w:val="99"/>
    <w:rsid w:val="004F310E"/>
    <w:pPr>
      <w:widowControl w:val="0"/>
      <w:suppressAutoHyphens/>
      <w:ind w:firstLine="360"/>
      <w:jc w:val="both"/>
    </w:pPr>
    <w:rPr>
      <w:rFonts w:eastAsia="Arial Unicode MS"/>
      <w:color w:val="0000FF"/>
    </w:rPr>
  </w:style>
  <w:style w:type="paragraph" w:customStyle="1" w:styleId="Naglwekstrony">
    <w:name w:val="Naglówek strony"/>
    <w:basedOn w:val="Normal"/>
    <w:uiPriority w:val="99"/>
    <w:rsid w:val="004F310E"/>
    <w:pPr>
      <w:widowControl w:val="0"/>
      <w:tabs>
        <w:tab w:val="center" w:pos="4536"/>
        <w:tab w:val="right" w:pos="9072"/>
      </w:tabs>
    </w:pPr>
    <w:rPr>
      <w:sz w:val="20"/>
      <w:szCs w:val="20"/>
    </w:rPr>
  </w:style>
  <w:style w:type="paragraph" w:customStyle="1" w:styleId="Mojalistatablic">
    <w:name w:val="Moja lista tablic"/>
    <w:basedOn w:val="Normal"/>
    <w:autoRedefine/>
    <w:uiPriority w:val="99"/>
    <w:rsid w:val="004F310E"/>
    <w:rPr>
      <w:rFonts w:ascii="Arial" w:hAnsi="Arial" w:cs="Arial"/>
      <w:bCs/>
      <w:sz w:val="22"/>
      <w:szCs w:val="22"/>
    </w:rPr>
  </w:style>
  <w:style w:type="paragraph" w:customStyle="1" w:styleId="Tekstpodstawowy21">
    <w:name w:val="Tekst podstawowy 21"/>
    <w:basedOn w:val="Normal"/>
    <w:uiPriority w:val="99"/>
    <w:rsid w:val="004F310E"/>
    <w:pPr>
      <w:jc w:val="both"/>
    </w:pPr>
    <w:rPr>
      <w:szCs w:val="20"/>
    </w:rPr>
  </w:style>
  <w:style w:type="character" w:customStyle="1" w:styleId="wypunktowanie0">
    <w:name w:val="wypunktowanie"/>
    <w:uiPriority w:val="99"/>
    <w:rsid w:val="004F310E"/>
    <w:rPr>
      <w:rFonts w:ascii="TimesNewRoman" w:hAnsi="TimesNewRoman"/>
    </w:rPr>
  </w:style>
  <w:style w:type="paragraph" w:customStyle="1" w:styleId="Style38">
    <w:name w:val="Style38"/>
    <w:basedOn w:val="Normal"/>
    <w:uiPriority w:val="99"/>
    <w:rsid w:val="004F310E"/>
    <w:pPr>
      <w:widowControl w:val="0"/>
      <w:autoSpaceDE w:val="0"/>
      <w:autoSpaceDN w:val="0"/>
      <w:adjustRightInd w:val="0"/>
      <w:spacing w:line="206" w:lineRule="exact"/>
    </w:pPr>
  </w:style>
  <w:style w:type="character" w:customStyle="1" w:styleId="FontStyle61">
    <w:name w:val="Font Style61"/>
    <w:uiPriority w:val="99"/>
    <w:rsid w:val="004F310E"/>
    <w:rPr>
      <w:rFonts w:ascii="Arial" w:hAnsi="Arial"/>
      <w:sz w:val="18"/>
    </w:rPr>
  </w:style>
  <w:style w:type="paragraph" w:customStyle="1" w:styleId="Tekstpodstawowywcity22">
    <w:name w:val="Tekst podstawowy wcięty 22"/>
    <w:basedOn w:val="Normal"/>
    <w:uiPriority w:val="99"/>
    <w:rsid w:val="004F310E"/>
    <w:pPr>
      <w:ind w:left="284" w:hanging="284"/>
      <w:jc w:val="both"/>
    </w:pPr>
    <w:rPr>
      <w:szCs w:val="20"/>
    </w:rPr>
  </w:style>
  <w:style w:type="character" w:customStyle="1" w:styleId="FontStyle204">
    <w:name w:val="Font Style204"/>
    <w:uiPriority w:val="99"/>
    <w:rsid w:val="004F310E"/>
    <w:rPr>
      <w:rFonts w:ascii="Arial Unicode MS" w:eastAsia="Arial Unicode MS"/>
      <w:b/>
      <w:sz w:val="18"/>
    </w:rPr>
  </w:style>
  <w:style w:type="paragraph" w:customStyle="1" w:styleId="ListParagraph1">
    <w:name w:val="List Paragraph1"/>
    <w:basedOn w:val="Normal"/>
    <w:uiPriority w:val="99"/>
    <w:rsid w:val="004F310E"/>
    <w:pPr>
      <w:ind w:left="708"/>
    </w:pPr>
  </w:style>
  <w:style w:type="paragraph" w:customStyle="1" w:styleId="TOCHeading1">
    <w:name w:val="TOC Heading1"/>
    <w:basedOn w:val="Heading1"/>
    <w:next w:val="Normal"/>
    <w:uiPriority w:val="99"/>
    <w:rsid w:val="004F310E"/>
    <w:pPr>
      <w:spacing w:line="276" w:lineRule="auto"/>
      <w:ind w:left="431" w:hanging="431"/>
      <w:jc w:val="both"/>
      <w:outlineLvl w:val="9"/>
    </w:pPr>
    <w:rPr>
      <w:lang w:eastAsia="en-US"/>
    </w:rPr>
  </w:style>
  <w:style w:type="character" w:customStyle="1" w:styleId="eltit">
    <w:name w:val="eltit"/>
    <w:uiPriority w:val="99"/>
    <w:rsid w:val="004F310E"/>
  </w:style>
  <w:style w:type="paragraph" w:customStyle="1" w:styleId="Revision1">
    <w:name w:val="Revision1"/>
    <w:hidden/>
    <w:uiPriority w:val="99"/>
    <w:semiHidden/>
    <w:rsid w:val="004F310E"/>
    <w:rPr>
      <w:sz w:val="24"/>
      <w:szCs w:val="24"/>
    </w:rPr>
  </w:style>
  <w:style w:type="character" w:customStyle="1" w:styleId="h11">
    <w:name w:val="h11"/>
    <w:uiPriority w:val="99"/>
    <w:rsid w:val="004F310E"/>
    <w:rPr>
      <w:rFonts w:ascii="Verdana" w:hAnsi="Verdana"/>
      <w:b/>
      <w:sz w:val="26"/>
    </w:rPr>
  </w:style>
  <w:style w:type="paragraph" w:customStyle="1" w:styleId="zmart2">
    <w:name w:val="zmart2"/>
    <w:basedOn w:val="Normal"/>
    <w:uiPriority w:val="99"/>
    <w:rsid w:val="004F310E"/>
    <w:pPr>
      <w:overflowPunct w:val="0"/>
      <w:autoSpaceDE w:val="0"/>
      <w:autoSpaceDN w:val="0"/>
      <w:spacing w:before="60" w:after="60"/>
      <w:ind w:left="1843" w:hanging="1219"/>
      <w:jc w:val="both"/>
    </w:pPr>
  </w:style>
  <w:style w:type="paragraph" w:customStyle="1" w:styleId="pkt1art">
    <w:name w:val="pkt1art"/>
    <w:basedOn w:val="Normal"/>
    <w:uiPriority w:val="99"/>
    <w:rsid w:val="004F310E"/>
    <w:pPr>
      <w:overflowPunct w:val="0"/>
      <w:autoSpaceDE w:val="0"/>
      <w:autoSpaceDN w:val="0"/>
      <w:spacing w:before="60" w:after="60"/>
      <w:ind w:left="2269" w:hanging="284"/>
      <w:jc w:val="both"/>
    </w:pPr>
  </w:style>
  <w:style w:type="paragraph" w:customStyle="1" w:styleId="pkt1">
    <w:name w:val="pkt1"/>
    <w:basedOn w:val="Normal"/>
    <w:uiPriority w:val="99"/>
    <w:rsid w:val="004F310E"/>
    <w:pPr>
      <w:overflowPunct w:val="0"/>
      <w:autoSpaceDE w:val="0"/>
      <w:autoSpaceDN w:val="0"/>
      <w:spacing w:before="60" w:after="60"/>
      <w:ind w:left="850" w:hanging="425"/>
      <w:jc w:val="both"/>
    </w:pPr>
  </w:style>
  <w:style w:type="paragraph" w:customStyle="1" w:styleId="lit">
    <w:name w:val="lit"/>
    <w:basedOn w:val="Normal"/>
    <w:uiPriority w:val="99"/>
    <w:rsid w:val="004F310E"/>
    <w:pPr>
      <w:overflowPunct w:val="0"/>
      <w:autoSpaceDE w:val="0"/>
      <w:autoSpaceDN w:val="0"/>
      <w:spacing w:before="60" w:after="60"/>
      <w:ind w:left="1281" w:hanging="272"/>
      <w:jc w:val="both"/>
    </w:pPr>
  </w:style>
  <w:style w:type="paragraph" w:customStyle="1" w:styleId="Knormal0">
    <w:name w:val="Knormal"/>
    <w:basedOn w:val="Normal"/>
    <w:link w:val="KnormalZnak"/>
    <w:uiPriority w:val="99"/>
    <w:rsid w:val="004F310E"/>
    <w:pPr>
      <w:spacing w:before="120" w:after="120"/>
      <w:jc w:val="both"/>
    </w:pPr>
    <w:rPr>
      <w:rFonts w:ascii="Trebuchet MS" w:hAnsi="Trebuchet MS"/>
      <w:sz w:val="20"/>
      <w:szCs w:val="20"/>
    </w:rPr>
  </w:style>
  <w:style w:type="character" w:customStyle="1" w:styleId="KnormalZnak">
    <w:name w:val="Knormal Znak"/>
    <w:link w:val="Knormal0"/>
    <w:uiPriority w:val="99"/>
    <w:locked/>
    <w:rsid w:val="004F310E"/>
    <w:rPr>
      <w:rFonts w:ascii="Trebuchet MS" w:hAnsi="Trebuchet MS"/>
    </w:rPr>
  </w:style>
  <w:style w:type="paragraph" w:customStyle="1" w:styleId="Akapitzlist3">
    <w:name w:val="Akapit z listą3"/>
    <w:basedOn w:val="Normal"/>
    <w:uiPriority w:val="99"/>
    <w:rsid w:val="004F310E"/>
    <w:pPr>
      <w:spacing w:after="200" w:line="276" w:lineRule="auto"/>
      <w:ind w:left="720"/>
      <w:contextualSpacing/>
    </w:pPr>
    <w:rPr>
      <w:rFonts w:ascii="Calibri" w:hAnsi="Calibri"/>
      <w:sz w:val="22"/>
      <w:szCs w:val="22"/>
      <w:lang w:eastAsia="en-US"/>
    </w:rPr>
  </w:style>
  <w:style w:type="paragraph" w:customStyle="1" w:styleId="Mnag1">
    <w:name w:val="M_nag1"/>
    <w:basedOn w:val="Normal"/>
    <w:link w:val="Mnag1Znak"/>
    <w:uiPriority w:val="99"/>
    <w:rsid w:val="00255E62"/>
    <w:pPr>
      <w:keepNext/>
      <w:suppressAutoHyphens/>
      <w:spacing w:after="240"/>
      <w:ind w:left="720" w:hanging="720"/>
      <w:outlineLvl w:val="0"/>
    </w:pPr>
    <w:rPr>
      <w:rFonts w:ascii="Calibri" w:hAnsi="Calibri" w:cs="Arial"/>
      <w:b/>
      <w:bCs/>
      <w:kern w:val="28"/>
      <w:sz w:val="32"/>
      <w:szCs w:val="32"/>
      <w:lang w:eastAsia="ar-SA"/>
    </w:rPr>
  </w:style>
  <w:style w:type="character" w:customStyle="1" w:styleId="Mnag1Znak">
    <w:name w:val="M_nag1 Znak"/>
    <w:link w:val="Mnag1"/>
    <w:uiPriority w:val="99"/>
    <w:locked/>
    <w:rsid w:val="00255E62"/>
    <w:rPr>
      <w:rFonts w:ascii="Calibri" w:hAnsi="Calibri"/>
      <w:b/>
      <w:kern w:val="28"/>
      <w:sz w:val="32"/>
      <w:lang w:val="x-none" w:eastAsia="ar-SA" w:bidi="ar-SA"/>
    </w:rPr>
  </w:style>
  <w:style w:type="paragraph" w:customStyle="1" w:styleId="font9">
    <w:name w:val="font9"/>
    <w:basedOn w:val="Normal"/>
    <w:uiPriority w:val="99"/>
    <w:rsid w:val="00255E62"/>
    <w:pPr>
      <w:spacing w:before="100" w:beforeAutospacing="1" w:after="100" w:afterAutospacing="1"/>
    </w:pPr>
    <w:rPr>
      <w:b/>
      <w:bCs/>
      <w:i/>
      <w:iCs/>
      <w:color w:val="000000"/>
      <w:sz w:val="14"/>
      <w:szCs w:val="14"/>
    </w:rPr>
  </w:style>
  <w:style w:type="paragraph" w:customStyle="1" w:styleId="GOMnag4">
    <w:name w:val="GOM_nagł4"/>
    <w:basedOn w:val="GOMnormal"/>
    <w:next w:val="GOMnormal"/>
    <w:link w:val="GOMnag4Znak"/>
    <w:uiPriority w:val="99"/>
    <w:rsid w:val="002B258A"/>
    <w:pPr>
      <w:numPr>
        <w:ilvl w:val="3"/>
        <w:numId w:val="25"/>
      </w:numPr>
      <w:spacing w:before="240"/>
      <w:ind w:left="851" w:hanging="851"/>
    </w:pPr>
    <w:rPr>
      <w:b/>
      <w:smallCaps/>
      <w:color w:val="003399"/>
      <w:sz w:val="22"/>
      <w:szCs w:val="22"/>
      <w:lang w:eastAsia="ar-SA"/>
    </w:rPr>
  </w:style>
  <w:style w:type="paragraph" w:customStyle="1" w:styleId="GOMprzypis">
    <w:name w:val="GOM_przypis"/>
    <w:basedOn w:val="FootnoteText"/>
    <w:link w:val="GOMprzypisZnak"/>
    <w:uiPriority w:val="99"/>
    <w:rsid w:val="00AC6835"/>
    <w:pPr>
      <w:ind w:left="227" w:hanging="227"/>
      <w:jc w:val="left"/>
    </w:pPr>
    <w:rPr>
      <w:rFonts w:ascii="Calibri" w:hAnsi="Calibri"/>
    </w:rPr>
  </w:style>
  <w:style w:type="character" w:customStyle="1" w:styleId="GOMnag4Znak">
    <w:name w:val="GOM_nagł4 Znak"/>
    <w:link w:val="GOMnag4"/>
    <w:uiPriority w:val="99"/>
    <w:locked/>
    <w:rsid w:val="002B258A"/>
    <w:rPr>
      <w:rFonts w:ascii="Calibri" w:hAnsi="Calibri"/>
      <w:b/>
      <w:smallCaps/>
      <w:color w:val="003399"/>
      <w:lang w:eastAsia="ar-SA"/>
    </w:rPr>
  </w:style>
  <w:style w:type="paragraph" w:customStyle="1" w:styleId="GOMlista">
    <w:name w:val="GOM_lista"/>
    <w:basedOn w:val="GOMwypkt"/>
    <w:link w:val="GOMlistaZnak"/>
    <w:uiPriority w:val="99"/>
    <w:rsid w:val="00183BB0"/>
    <w:pPr>
      <w:numPr>
        <w:numId w:val="22"/>
      </w:numPr>
      <w:ind w:left="738"/>
    </w:pPr>
  </w:style>
  <w:style w:type="character" w:customStyle="1" w:styleId="GOMprzypisZnak">
    <w:name w:val="GOM_przypis Znak"/>
    <w:link w:val="GOMprzypis"/>
    <w:uiPriority w:val="99"/>
    <w:locked/>
    <w:rsid w:val="00AC6835"/>
    <w:rPr>
      <w:rFonts w:ascii="Calibri" w:hAnsi="Calibri"/>
      <w:sz w:val="18"/>
    </w:rPr>
  </w:style>
  <w:style w:type="character" w:customStyle="1" w:styleId="GOMlistaZnak">
    <w:name w:val="GOM_lista Znak"/>
    <w:link w:val="GOMlista"/>
    <w:uiPriority w:val="99"/>
    <w:locked/>
    <w:rsid w:val="00183BB0"/>
    <w:rPr>
      <w:rFonts w:ascii="Calibri" w:hAnsi="Calibri"/>
      <w:sz w:val="20"/>
      <w:szCs w:val="20"/>
    </w:rPr>
  </w:style>
  <w:style w:type="paragraph" w:customStyle="1" w:styleId="DSnormal">
    <w:name w:val="DS_normal"/>
    <w:basedOn w:val="normalBP"/>
    <w:link w:val="DSnormalZnak"/>
    <w:uiPriority w:val="99"/>
    <w:rsid w:val="00C36690"/>
    <w:pPr>
      <w:spacing w:before="120" w:after="120" w:line="240" w:lineRule="auto"/>
    </w:pPr>
    <w:rPr>
      <w:rFonts w:ascii="Calibri" w:hAnsi="Calibri"/>
      <w:sz w:val="20"/>
      <w:szCs w:val="20"/>
    </w:rPr>
  </w:style>
  <w:style w:type="character" w:customStyle="1" w:styleId="DSnormalZnak">
    <w:name w:val="DS_normal Znak"/>
    <w:link w:val="DSnormal"/>
    <w:uiPriority w:val="99"/>
    <w:locked/>
    <w:rsid w:val="00C36690"/>
    <w:rPr>
      <w:rFonts w:ascii="Calibri" w:hAnsi="Calibri"/>
      <w:sz w:val="22"/>
    </w:rPr>
  </w:style>
  <w:style w:type="paragraph" w:customStyle="1" w:styleId="DSwypkt">
    <w:name w:val="DS_wypkt"/>
    <w:basedOn w:val="Kwypunkt"/>
    <w:link w:val="DSwypktZnak"/>
    <w:uiPriority w:val="99"/>
    <w:rsid w:val="00C36690"/>
    <w:pPr>
      <w:numPr>
        <w:numId w:val="0"/>
      </w:numPr>
      <w:ind w:left="1077" w:hanging="360"/>
    </w:pPr>
    <w:rPr>
      <w:rFonts w:ascii="Calibri" w:hAnsi="Calibri"/>
    </w:rPr>
  </w:style>
  <w:style w:type="character" w:customStyle="1" w:styleId="DSwypktZnak">
    <w:name w:val="DS_wypkt Znak"/>
    <w:link w:val="DSwypkt"/>
    <w:uiPriority w:val="99"/>
    <w:locked/>
    <w:rsid w:val="00C36690"/>
    <w:rPr>
      <w:rFonts w:ascii="Calibri" w:hAnsi="Calibri"/>
      <w:sz w:val="22"/>
    </w:rPr>
  </w:style>
  <w:style w:type="paragraph" w:customStyle="1" w:styleId="DSprzypis">
    <w:name w:val="DS_przypis"/>
    <w:basedOn w:val="FootnoteText"/>
    <w:link w:val="DSprzypisZnak"/>
    <w:uiPriority w:val="99"/>
    <w:rsid w:val="00C36690"/>
    <w:pPr>
      <w:ind w:left="170" w:hanging="170"/>
    </w:pPr>
    <w:rPr>
      <w:rFonts w:ascii="Calibri" w:hAnsi="Calibri"/>
      <w:sz w:val="16"/>
    </w:rPr>
  </w:style>
  <w:style w:type="paragraph" w:customStyle="1" w:styleId="Mpktlista">
    <w:name w:val="M_pkt_lista"/>
    <w:basedOn w:val="GOMwypkt"/>
    <w:link w:val="MpktlistaZnak"/>
    <w:uiPriority w:val="99"/>
    <w:rsid w:val="00C36690"/>
    <w:pPr>
      <w:numPr>
        <w:numId w:val="23"/>
      </w:numPr>
      <w:ind w:left="1037" w:hanging="357"/>
    </w:pPr>
  </w:style>
  <w:style w:type="character" w:customStyle="1" w:styleId="DSprzypisZnak">
    <w:name w:val="DS_przypis Znak"/>
    <w:link w:val="DSprzypis"/>
    <w:uiPriority w:val="99"/>
    <w:locked/>
    <w:rsid w:val="00C36690"/>
    <w:rPr>
      <w:rFonts w:ascii="Calibri" w:hAnsi="Calibri"/>
      <w:sz w:val="16"/>
    </w:rPr>
  </w:style>
  <w:style w:type="character" w:customStyle="1" w:styleId="MpktlistaZnak">
    <w:name w:val="M_pkt_lista Znak"/>
    <w:link w:val="Mpktlista"/>
    <w:uiPriority w:val="99"/>
    <w:locked/>
    <w:rsid w:val="00C36690"/>
    <w:rPr>
      <w:rFonts w:ascii="Calibri" w:hAnsi="Calibri"/>
      <w:sz w:val="20"/>
      <w:szCs w:val="20"/>
    </w:rPr>
  </w:style>
  <w:style w:type="paragraph" w:customStyle="1" w:styleId="Akapitzlist4">
    <w:name w:val="Akapit z listą4"/>
    <w:basedOn w:val="Normal"/>
    <w:link w:val="ListParagraphChar"/>
    <w:uiPriority w:val="99"/>
    <w:rsid w:val="00070262"/>
    <w:pPr>
      <w:spacing w:before="240" w:after="200" w:line="276" w:lineRule="auto"/>
      <w:ind w:left="1440" w:hanging="360"/>
      <w:contextualSpacing/>
    </w:pPr>
    <w:rPr>
      <w:sz w:val="20"/>
      <w:szCs w:val="22"/>
      <w:lang w:eastAsia="en-US"/>
    </w:rPr>
  </w:style>
  <w:style w:type="character" w:customStyle="1" w:styleId="ListParagraphChar">
    <w:name w:val="List Paragraph Char"/>
    <w:link w:val="Akapitzlist4"/>
    <w:uiPriority w:val="99"/>
    <w:locked/>
    <w:rsid w:val="00070262"/>
    <w:rPr>
      <w:sz w:val="22"/>
      <w:lang w:val="x-none" w:eastAsia="en-US"/>
    </w:rPr>
  </w:style>
  <w:style w:type="character" w:customStyle="1" w:styleId="ListParagraphChar1">
    <w:name w:val="List Paragraph Char1"/>
    <w:aliases w:val="maz_wyliczenie Char,opis dzialania Char,K-P_odwolanie Char,A_wyliczenie Char,Akapit z listą5 Char,Akapit z listą51 Char"/>
    <w:link w:val="ListParagraph"/>
    <w:uiPriority w:val="99"/>
    <w:locked/>
    <w:rsid w:val="00670A55"/>
    <w:rPr>
      <w:rFonts w:ascii="Calibri" w:hAnsi="Calibri"/>
      <w:sz w:val="24"/>
    </w:rPr>
  </w:style>
  <w:style w:type="paragraph" w:customStyle="1" w:styleId="111maloposlanagwek">
    <w:name w:val="1.1.1. maloposla_nagłówek"/>
    <w:basedOn w:val="Heading2"/>
    <w:link w:val="111maloposlanagwekZnak"/>
    <w:uiPriority w:val="99"/>
    <w:rsid w:val="001654D6"/>
    <w:pPr>
      <w:keepLines/>
      <w:spacing w:after="240"/>
      <w:ind w:left="1080" w:hanging="720"/>
    </w:pPr>
    <w:rPr>
      <w:rFonts w:ascii="Times New Roman" w:hAnsi="Times New Roman"/>
      <w:iCs w:val="0"/>
      <w:caps w:val="0"/>
      <w:sz w:val="22"/>
      <w:szCs w:val="26"/>
    </w:rPr>
  </w:style>
  <w:style w:type="character" w:customStyle="1" w:styleId="111maloposlanagwekZnak">
    <w:name w:val="1.1.1. maloposla_nagłówek Znak"/>
    <w:link w:val="111maloposlanagwek"/>
    <w:uiPriority w:val="99"/>
    <w:locked/>
    <w:rsid w:val="001654D6"/>
    <w:rPr>
      <w:b/>
      <w:sz w:val="26"/>
    </w:rPr>
  </w:style>
  <w:style w:type="paragraph" w:customStyle="1" w:styleId="ObjasnieniaRapMet">
    <w:name w:val="Objasnienia_RapMet"/>
    <w:basedOn w:val="Normal"/>
    <w:link w:val="ObjasnieniaRapMetZnak"/>
    <w:uiPriority w:val="99"/>
    <w:rsid w:val="00932B89"/>
    <w:pPr>
      <w:spacing w:line="276" w:lineRule="auto"/>
      <w:jc w:val="both"/>
    </w:pPr>
    <w:rPr>
      <w:rFonts w:ascii="Calibri" w:hAnsi="Calibri"/>
      <w:sz w:val="20"/>
      <w:szCs w:val="20"/>
    </w:rPr>
  </w:style>
  <w:style w:type="character" w:customStyle="1" w:styleId="ObjasnieniaRapMetZnak">
    <w:name w:val="Objasnienia_RapMet Znak"/>
    <w:link w:val="ObjasnieniaRapMet"/>
    <w:uiPriority w:val="99"/>
    <w:locked/>
    <w:rsid w:val="00932B89"/>
    <w:rPr>
      <w:rFonts w:ascii="Calibri" w:hAnsi="Calibri"/>
    </w:rPr>
  </w:style>
  <w:style w:type="paragraph" w:customStyle="1" w:styleId="punkt1RapMet">
    <w:name w:val="punkt1_RapMet"/>
    <w:basedOn w:val="ListParagraph"/>
    <w:link w:val="punkt1RapMetZnak"/>
    <w:uiPriority w:val="99"/>
    <w:rsid w:val="00932B89"/>
    <w:pPr>
      <w:tabs>
        <w:tab w:val="left" w:pos="1134"/>
      </w:tabs>
      <w:autoSpaceDE w:val="0"/>
      <w:autoSpaceDN w:val="0"/>
      <w:adjustRightInd w:val="0"/>
      <w:spacing w:before="120" w:after="120" w:line="312" w:lineRule="auto"/>
      <w:ind w:hanging="360"/>
      <w:jc w:val="both"/>
    </w:pPr>
    <w:rPr>
      <w:rFonts w:cs="Arial"/>
      <w:bCs/>
      <w:sz w:val="20"/>
      <w:szCs w:val="22"/>
      <w:lang w:eastAsia="en-US"/>
    </w:rPr>
  </w:style>
  <w:style w:type="character" w:customStyle="1" w:styleId="punkt1RapMetZnak">
    <w:name w:val="punkt1_RapMet Znak"/>
    <w:link w:val="punkt1RapMet"/>
    <w:uiPriority w:val="99"/>
    <w:locked/>
    <w:rsid w:val="00932B89"/>
    <w:rPr>
      <w:rFonts w:eastAsia="Times New Roman"/>
      <w:sz w:val="22"/>
      <w:lang w:val="x-none" w:eastAsia="en-US"/>
    </w:rPr>
  </w:style>
  <w:style w:type="paragraph" w:customStyle="1" w:styleId="Punktor0">
    <w:name w:val="Punktor"/>
    <w:basedOn w:val="Normal"/>
    <w:link w:val="PunktorZnak"/>
    <w:uiPriority w:val="99"/>
    <w:rsid w:val="00653C6D"/>
    <w:pPr>
      <w:numPr>
        <w:numId w:val="24"/>
      </w:numPr>
      <w:autoSpaceDE w:val="0"/>
      <w:autoSpaceDN w:val="0"/>
      <w:adjustRightInd w:val="0"/>
      <w:spacing w:before="240" w:line="276" w:lineRule="auto"/>
      <w:contextualSpacing/>
    </w:pPr>
    <w:rPr>
      <w:rFonts w:ascii="Calibri" w:hAnsi="Calibri"/>
      <w:bCs/>
      <w:color w:val="000000"/>
    </w:rPr>
  </w:style>
  <w:style w:type="character" w:customStyle="1" w:styleId="PunktorZnak">
    <w:name w:val="Punktor Znak"/>
    <w:link w:val="Punktor0"/>
    <w:uiPriority w:val="99"/>
    <w:locked/>
    <w:rsid w:val="00653C6D"/>
    <w:rPr>
      <w:rFonts w:ascii="Calibri" w:hAnsi="Calibri"/>
      <w:bCs/>
      <w:color w:val="000000"/>
      <w:sz w:val="24"/>
      <w:szCs w:val="24"/>
    </w:rPr>
  </w:style>
  <w:style w:type="paragraph" w:customStyle="1" w:styleId="programystrategiczne">
    <w:name w:val="programy strategiczne"/>
    <w:basedOn w:val="Normal"/>
    <w:link w:val="programystrategiczneZnak"/>
    <w:uiPriority w:val="99"/>
    <w:rsid w:val="006D7322"/>
    <w:pPr>
      <w:keepNext/>
      <w:spacing w:before="360" w:line="360" w:lineRule="auto"/>
      <w:jc w:val="both"/>
    </w:pPr>
    <w:rPr>
      <w:rFonts w:ascii="Arial" w:hAnsi="Arial"/>
      <w:b/>
      <w:bCs/>
      <w:sz w:val="20"/>
      <w:szCs w:val="20"/>
    </w:rPr>
  </w:style>
  <w:style w:type="character" w:customStyle="1" w:styleId="programystrategiczneZnak">
    <w:name w:val="programy strategiczne Znak"/>
    <w:link w:val="programystrategiczne"/>
    <w:uiPriority w:val="99"/>
    <w:locked/>
    <w:rsid w:val="006D7322"/>
    <w:rPr>
      <w:rFonts w:ascii="Arial" w:hAnsi="Arial"/>
      <w:b/>
    </w:rPr>
  </w:style>
  <w:style w:type="character" w:customStyle="1" w:styleId="apple-style-span">
    <w:name w:val="apple-style-span"/>
    <w:uiPriority w:val="99"/>
    <w:rsid w:val="006101E3"/>
  </w:style>
  <w:style w:type="paragraph" w:customStyle="1" w:styleId="Tekst30">
    <w:name w:val="Tekst 3"/>
    <w:basedOn w:val="Heading3"/>
    <w:uiPriority w:val="99"/>
    <w:rsid w:val="006101E3"/>
    <w:pPr>
      <w:keepNext w:val="0"/>
      <w:spacing w:before="0" w:after="0"/>
      <w:ind w:left="397" w:firstLine="567"/>
      <w:jc w:val="both"/>
    </w:pPr>
    <w:rPr>
      <w:b w:val="0"/>
      <w:sz w:val="20"/>
    </w:rPr>
  </w:style>
  <w:style w:type="character" w:customStyle="1" w:styleId="apple-converted-space">
    <w:name w:val="apple-converted-space"/>
    <w:uiPriority w:val="99"/>
    <w:rsid w:val="00BC7D35"/>
  </w:style>
  <w:style w:type="paragraph" w:customStyle="1" w:styleId="DSpowyr">
    <w:name w:val="DS_powyr"/>
    <w:basedOn w:val="Normal"/>
    <w:next w:val="DSnormal"/>
    <w:link w:val="DSpowyrZnak"/>
    <w:uiPriority w:val="99"/>
    <w:rsid w:val="006C1D59"/>
    <w:pPr>
      <w:spacing w:before="240" w:after="120"/>
      <w:jc w:val="both"/>
    </w:pPr>
    <w:rPr>
      <w:rFonts w:ascii="Calibri" w:hAnsi="Calibri"/>
      <w:b/>
      <w:i/>
      <w:sz w:val="22"/>
      <w:szCs w:val="18"/>
    </w:rPr>
  </w:style>
  <w:style w:type="character" w:customStyle="1" w:styleId="DSpowyrZnak">
    <w:name w:val="DS_powyr Znak"/>
    <w:link w:val="DSpowyr"/>
    <w:uiPriority w:val="99"/>
    <w:locked/>
    <w:rsid w:val="006C1D59"/>
    <w:rPr>
      <w:rFonts w:ascii="Calibri" w:hAnsi="Calibri"/>
      <w:b/>
      <w:i/>
      <w:sz w:val="18"/>
    </w:rPr>
  </w:style>
  <w:style w:type="paragraph" w:customStyle="1" w:styleId="Pa6">
    <w:name w:val="Pa6"/>
    <w:basedOn w:val="Normal"/>
    <w:next w:val="Normal"/>
    <w:uiPriority w:val="99"/>
    <w:rsid w:val="00A6039F"/>
    <w:pPr>
      <w:autoSpaceDE w:val="0"/>
      <w:autoSpaceDN w:val="0"/>
      <w:adjustRightInd w:val="0"/>
      <w:spacing w:line="241" w:lineRule="atLeast"/>
    </w:pPr>
    <w:rPr>
      <w:rFonts w:ascii="Myriad Pro" w:hAnsi="Myriad Pro"/>
      <w:lang w:eastAsia="en-US"/>
    </w:rPr>
  </w:style>
  <w:style w:type="paragraph" w:customStyle="1" w:styleId="PUNKTORx">
    <w:name w:val="PUNKTORx"/>
    <w:basedOn w:val="Punktor0"/>
    <w:link w:val="PUNKTORxZnak"/>
    <w:uiPriority w:val="99"/>
    <w:rsid w:val="00A6039F"/>
    <w:pPr>
      <w:ind w:left="720"/>
    </w:pPr>
    <w:rPr>
      <w:lang w:eastAsia="en-US"/>
    </w:rPr>
  </w:style>
  <w:style w:type="character" w:customStyle="1" w:styleId="PUNKTORxZnak">
    <w:name w:val="PUNKTORx Znak"/>
    <w:link w:val="PUNKTORx"/>
    <w:uiPriority w:val="99"/>
    <w:locked/>
    <w:rsid w:val="00A6039F"/>
    <w:rPr>
      <w:rFonts w:ascii="Calibri" w:hAnsi="Calibri"/>
      <w:color w:val="000000"/>
      <w:sz w:val="24"/>
      <w:lang w:val="pl-PL" w:eastAsia="en-US"/>
    </w:rPr>
  </w:style>
  <w:style w:type="paragraph" w:customStyle="1" w:styleId="DSpodpistab">
    <w:name w:val="DS_podpis tab"/>
    <w:basedOn w:val="podpistabK"/>
    <w:link w:val="DSpodpistabZnak"/>
    <w:uiPriority w:val="99"/>
    <w:rsid w:val="00560A92"/>
    <w:pPr>
      <w:jc w:val="both"/>
    </w:pPr>
    <w:rPr>
      <w:rFonts w:ascii="Calibri" w:hAnsi="Calibri"/>
      <w:sz w:val="18"/>
    </w:rPr>
  </w:style>
  <w:style w:type="character" w:customStyle="1" w:styleId="DSpodpistabZnak">
    <w:name w:val="DS_podpis tab Znak"/>
    <w:link w:val="DSpodpistab"/>
    <w:uiPriority w:val="99"/>
    <w:locked/>
    <w:rsid w:val="00560A92"/>
    <w:rPr>
      <w:rFonts w:ascii="Calibri" w:hAnsi="Calibri"/>
      <w:i/>
      <w:sz w:val="16"/>
    </w:rPr>
  </w:style>
  <w:style w:type="paragraph" w:customStyle="1" w:styleId="DSlista">
    <w:name w:val="DS_lista"/>
    <w:basedOn w:val="DSwypkt"/>
    <w:link w:val="DSlistaZnak"/>
    <w:uiPriority w:val="99"/>
    <w:rsid w:val="00560A92"/>
    <w:pPr>
      <w:ind w:left="738" w:hanging="284"/>
    </w:pPr>
  </w:style>
  <w:style w:type="character" w:customStyle="1" w:styleId="DSlistaZnak">
    <w:name w:val="DS_lista Znak"/>
    <w:link w:val="DSlista"/>
    <w:uiPriority w:val="99"/>
    <w:locked/>
    <w:rsid w:val="00560A92"/>
    <w:rPr>
      <w:rFonts w:ascii="Calibri" w:hAnsi="Calibri"/>
      <w:sz w:val="22"/>
    </w:rPr>
  </w:style>
  <w:style w:type="paragraph" w:customStyle="1" w:styleId="maznorm">
    <w:name w:val="maz_norm"/>
    <w:basedOn w:val="Normal"/>
    <w:link w:val="maznormZnak"/>
    <w:uiPriority w:val="99"/>
    <w:rsid w:val="00A84B9B"/>
    <w:pPr>
      <w:autoSpaceDE w:val="0"/>
      <w:autoSpaceDN w:val="0"/>
      <w:adjustRightInd w:val="0"/>
      <w:spacing w:before="120" w:after="120"/>
      <w:jc w:val="both"/>
    </w:pPr>
    <w:rPr>
      <w:rFonts w:cs="Calibri"/>
      <w:sz w:val="20"/>
      <w:szCs w:val="22"/>
      <w:lang w:eastAsia="en-US"/>
    </w:rPr>
  </w:style>
  <w:style w:type="character" w:customStyle="1" w:styleId="maznormZnak">
    <w:name w:val="maz_norm Znak"/>
    <w:link w:val="maznorm"/>
    <w:uiPriority w:val="99"/>
    <w:locked/>
    <w:rsid w:val="00A84B9B"/>
    <w:rPr>
      <w:sz w:val="22"/>
      <w:lang w:val="x-none" w:eastAsia="en-US"/>
    </w:rPr>
  </w:style>
  <w:style w:type="character" w:customStyle="1" w:styleId="st1">
    <w:name w:val="st1"/>
    <w:uiPriority w:val="99"/>
    <w:rsid w:val="00652921"/>
  </w:style>
  <w:style w:type="paragraph" w:customStyle="1" w:styleId="Mnormal">
    <w:name w:val="M_normal"/>
    <w:basedOn w:val="normalBP"/>
    <w:link w:val="MnormalZnak"/>
    <w:uiPriority w:val="99"/>
    <w:rsid w:val="00EE1860"/>
    <w:pPr>
      <w:spacing w:before="120" w:after="120" w:line="240" w:lineRule="auto"/>
    </w:pPr>
    <w:rPr>
      <w:rFonts w:ascii="Calibri" w:hAnsi="Calibri"/>
      <w:sz w:val="20"/>
      <w:szCs w:val="20"/>
    </w:rPr>
  </w:style>
  <w:style w:type="character" w:customStyle="1" w:styleId="MnormalZnak">
    <w:name w:val="M_normal Znak"/>
    <w:link w:val="Mnormal"/>
    <w:uiPriority w:val="99"/>
    <w:locked/>
    <w:rsid w:val="00EE1860"/>
    <w:rPr>
      <w:rFonts w:ascii="Calibri" w:hAnsi="Calibri"/>
      <w:sz w:val="22"/>
    </w:rPr>
  </w:style>
  <w:style w:type="paragraph" w:customStyle="1" w:styleId="Mwypkt">
    <w:name w:val="M_wypkt"/>
    <w:basedOn w:val="Kwypunkt"/>
    <w:link w:val="MwypktZnak"/>
    <w:uiPriority w:val="99"/>
    <w:rsid w:val="00EE1860"/>
    <w:pPr>
      <w:numPr>
        <w:numId w:val="0"/>
      </w:numPr>
      <w:ind w:left="1077" w:hanging="360"/>
    </w:pPr>
    <w:rPr>
      <w:rFonts w:ascii="Calibri" w:hAnsi="Calibri"/>
    </w:rPr>
  </w:style>
  <w:style w:type="character" w:customStyle="1" w:styleId="MwypktZnak">
    <w:name w:val="M_wypkt Znak"/>
    <w:link w:val="Mwypkt"/>
    <w:uiPriority w:val="99"/>
    <w:locked/>
    <w:rsid w:val="00EE1860"/>
    <w:rPr>
      <w:rFonts w:ascii="Calibri" w:hAnsi="Calibri"/>
      <w:sz w:val="22"/>
    </w:rPr>
  </w:style>
  <w:style w:type="paragraph" w:styleId="Revision">
    <w:name w:val="Revision"/>
    <w:hidden/>
    <w:uiPriority w:val="99"/>
    <w:semiHidden/>
    <w:rsid w:val="00F92999"/>
    <w:rPr>
      <w:sz w:val="24"/>
      <w:szCs w:val="24"/>
    </w:rPr>
  </w:style>
  <w:style w:type="paragraph" w:customStyle="1" w:styleId="TabelaPodpisStyl">
    <w:name w:val="TabelaPodpisStyl"/>
    <w:basedOn w:val="GOMpodpistab"/>
    <w:link w:val="TabelaPodpisStylZnak"/>
    <w:uiPriority w:val="99"/>
    <w:rsid w:val="00BA4F1C"/>
  </w:style>
  <w:style w:type="character" w:customStyle="1" w:styleId="TabelaPodpisStylZnak">
    <w:name w:val="TabelaPodpisStyl Znak"/>
    <w:link w:val="TabelaPodpisStyl"/>
    <w:uiPriority w:val="99"/>
    <w:locked/>
    <w:rsid w:val="00BA4F1C"/>
    <w:rPr>
      <w:rFonts w:ascii="Calibri" w:hAnsi="Calibri"/>
      <w:i/>
      <w:sz w:val="16"/>
    </w:rPr>
  </w:style>
  <w:style w:type="numbering" w:customStyle="1" w:styleId="magda11">
    <w:name w:val="magda11"/>
    <w:rsid w:val="008F40BF"/>
    <w:pPr>
      <w:numPr>
        <w:numId w:val="11"/>
      </w:numPr>
    </w:pPr>
  </w:style>
  <w:style w:type="numbering" w:customStyle="1" w:styleId="magda1">
    <w:name w:val="magda1"/>
    <w:rsid w:val="008F40BF"/>
    <w:pPr>
      <w:numPr>
        <w:numId w:val="14"/>
      </w:numPr>
    </w:pPr>
  </w:style>
  <w:style w:type="numbering" w:styleId="111111">
    <w:name w:val="Outline List 2"/>
    <w:basedOn w:val="NoList"/>
    <w:uiPriority w:val="99"/>
    <w:semiHidden/>
    <w:unhideWhenUsed/>
    <w:locked/>
    <w:rsid w:val="008F40BF"/>
    <w:pPr>
      <w:numPr>
        <w:numId w:val="1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34536229">
      <w:marLeft w:val="0"/>
      <w:marRight w:val="0"/>
      <w:marTop w:val="0"/>
      <w:marBottom w:val="0"/>
      <w:divBdr>
        <w:top w:val="none" w:sz="0" w:space="0" w:color="auto"/>
        <w:left w:val="none" w:sz="0" w:space="0" w:color="auto"/>
        <w:bottom w:val="none" w:sz="0" w:space="0" w:color="auto"/>
        <w:right w:val="none" w:sz="0" w:space="0" w:color="auto"/>
      </w:divBdr>
    </w:div>
    <w:div w:id="834536230">
      <w:marLeft w:val="0"/>
      <w:marRight w:val="0"/>
      <w:marTop w:val="0"/>
      <w:marBottom w:val="0"/>
      <w:divBdr>
        <w:top w:val="none" w:sz="0" w:space="0" w:color="auto"/>
        <w:left w:val="none" w:sz="0" w:space="0" w:color="auto"/>
        <w:bottom w:val="none" w:sz="0" w:space="0" w:color="auto"/>
        <w:right w:val="none" w:sz="0" w:space="0" w:color="auto"/>
      </w:divBdr>
      <w:divsChild>
        <w:div w:id="834536265">
          <w:marLeft w:val="0"/>
          <w:marRight w:val="0"/>
          <w:marTop w:val="0"/>
          <w:marBottom w:val="0"/>
          <w:divBdr>
            <w:top w:val="none" w:sz="0" w:space="0" w:color="auto"/>
            <w:left w:val="none" w:sz="0" w:space="0" w:color="auto"/>
            <w:bottom w:val="none" w:sz="0" w:space="0" w:color="auto"/>
            <w:right w:val="none" w:sz="0" w:space="0" w:color="auto"/>
          </w:divBdr>
          <w:divsChild>
            <w:div w:id="834536305">
              <w:marLeft w:val="0"/>
              <w:marRight w:val="0"/>
              <w:marTop w:val="1300"/>
              <w:marBottom w:val="0"/>
              <w:divBdr>
                <w:top w:val="none" w:sz="0" w:space="0" w:color="auto"/>
                <w:left w:val="none" w:sz="0" w:space="0" w:color="auto"/>
                <w:bottom w:val="none" w:sz="0" w:space="0" w:color="auto"/>
                <w:right w:val="none" w:sz="0" w:space="0" w:color="auto"/>
              </w:divBdr>
            </w:div>
          </w:divsChild>
        </w:div>
        <w:div w:id="834536287">
          <w:marLeft w:val="0"/>
          <w:marRight w:val="0"/>
          <w:marTop w:val="0"/>
          <w:marBottom w:val="0"/>
          <w:divBdr>
            <w:top w:val="none" w:sz="0" w:space="0" w:color="auto"/>
            <w:left w:val="none" w:sz="0" w:space="0" w:color="auto"/>
            <w:bottom w:val="none" w:sz="0" w:space="0" w:color="auto"/>
            <w:right w:val="none" w:sz="0" w:space="0" w:color="auto"/>
          </w:divBdr>
          <w:divsChild>
            <w:div w:id="834536254">
              <w:marLeft w:val="0"/>
              <w:marRight w:val="0"/>
              <w:marTop w:val="0"/>
              <w:marBottom w:val="0"/>
              <w:divBdr>
                <w:top w:val="none" w:sz="0" w:space="0" w:color="auto"/>
                <w:left w:val="none" w:sz="0" w:space="0" w:color="auto"/>
                <w:bottom w:val="none" w:sz="0" w:space="0" w:color="auto"/>
                <w:right w:val="none" w:sz="0" w:space="0" w:color="auto"/>
              </w:divBdr>
            </w:div>
          </w:divsChild>
        </w:div>
        <w:div w:id="834536306">
          <w:marLeft w:val="0"/>
          <w:marRight w:val="0"/>
          <w:marTop w:val="0"/>
          <w:marBottom w:val="0"/>
          <w:divBdr>
            <w:top w:val="none" w:sz="0" w:space="0" w:color="auto"/>
            <w:left w:val="none" w:sz="0" w:space="0" w:color="auto"/>
            <w:bottom w:val="none" w:sz="0" w:space="0" w:color="auto"/>
            <w:right w:val="none" w:sz="0" w:space="0" w:color="auto"/>
          </w:divBdr>
          <w:divsChild>
            <w:div w:id="83453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4536231">
      <w:marLeft w:val="0"/>
      <w:marRight w:val="0"/>
      <w:marTop w:val="0"/>
      <w:marBottom w:val="0"/>
      <w:divBdr>
        <w:top w:val="none" w:sz="0" w:space="0" w:color="auto"/>
        <w:left w:val="none" w:sz="0" w:space="0" w:color="auto"/>
        <w:bottom w:val="none" w:sz="0" w:space="0" w:color="auto"/>
        <w:right w:val="none" w:sz="0" w:space="0" w:color="auto"/>
      </w:divBdr>
    </w:div>
    <w:div w:id="834536232">
      <w:marLeft w:val="0"/>
      <w:marRight w:val="0"/>
      <w:marTop w:val="0"/>
      <w:marBottom w:val="0"/>
      <w:divBdr>
        <w:top w:val="none" w:sz="0" w:space="0" w:color="auto"/>
        <w:left w:val="none" w:sz="0" w:space="0" w:color="auto"/>
        <w:bottom w:val="none" w:sz="0" w:space="0" w:color="auto"/>
        <w:right w:val="none" w:sz="0" w:space="0" w:color="auto"/>
      </w:divBdr>
    </w:div>
    <w:div w:id="834536233">
      <w:marLeft w:val="0"/>
      <w:marRight w:val="0"/>
      <w:marTop w:val="0"/>
      <w:marBottom w:val="0"/>
      <w:divBdr>
        <w:top w:val="none" w:sz="0" w:space="0" w:color="auto"/>
        <w:left w:val="none" w:sz="0" w:space="0" w:color="auto"/>
        <w:bottom w:val="none" w:sz="0" w:space="0" w:color="auto"/>
        <w:right w:val="none" w:sz="0" w:space="0" w:color="auto"/>
      </w:divBdr>
    </w:div>
    <w:div w:id="834536234">
      <w:marLeft w:val="0"/>
      <w:marRight w:val="0"/>
      <w:marTop w:val="0"/>
      <w:marBottom w:val="0"/>
      <w:divBdr>
        <w:top w:val="none" w:sz="0" w:space="0" w:color="auto"/>
        <w:left w:val="none" w:sz="0" w:space="0" w:color="auto"/>
        <w:bottom w:val="none" w:sz="0" w:space="0" w:color="auto"/>
        <w:right w:val="none" w:sz="0" w:space="0" w:color="auto"/>
      </w:divBdr>
    </w:div>
    <w:div w:id="834536235">
      <w:marLeft w:val="0"/>
      <w:marRight w:val="0"/>
      <w:marTop w:val="0"/>
      <w:marBottom w:val="0"/>
      <w:divBdr>
        <w:top w:val="none" w:sz="0" w:space="0" w:color="auto"/>
        <w:left w:val="none" w:sz="0" w:space="0" w:color="auto"/>
        <w:bottom w:val="none" w:sz="0" w:space="0" w:color="auto"/>
        <w:right w:val="none" w:sz="0" w:space="0" w:color="auto"/>
      </w:divBdr>
    </w:div>
    <w:div w:id="834536236">
      <w:marLeft w:val="0"/>
      <w:marRight w:val="0"/>
      <w:marTop w:val="0"/>
      <w:marBottom w:val="0"/>
      <w:divBdr>
        <w:top w:val="none" w:sz="0" w:space="0" w:color="auto"/>
        <w:left w:val="none" w:sz="0" w:space="0" w:color="auto"/>
        <w:bottom w:val="none" w:sz="0" w:space="0" w:color="auto"/>
        <w:right w:val="none" w:sz="0" w:space="0" w:color="auto"/>
      </w:divBdr>
    </w:div>
    <w:div w:id="834536238">
      <w:marLeft w:val="0"/>
      <w:marRight w:val="0"/>
      <w:marTop w:val="0"/>
      <w:marBottom w:val="0"/>
      <w:divBdr>
        <w:top w:val="none" w:sz="0" w:space="0" w:color="auto"/>
        <w:left w:val="none" w:sz="0" w:space="0" w:color="auto"/>
        <w:bottom w:val="none" w:sz="0" w:space="0" w:color="auto"/>
        <w:right w:val="none" w:sz="0" w:space="0" w:color="auto"/>
      </w:divBdr>
      <w:divsChild>
        <w:div w:id="834536237">
          <w:marLeft w:val="0"/>
          <w:marRight w:val="0"/>
          <w:marTop w:val="0"/>
          <w:marBottom w:val="0"/>
          <w:divBdr>
            <w:top w:val="none" w:sz="0" w:space="0" w:color="auto"/>
            <w:left w:val="none" w:sz="0" w:space="0" w:color="auto"/>
            <w:bottom w:val="none" w:sz="0" w:space="0" w:color="auto"/>
            <w:right w:val="none" w:sz="0" w:space="0" w:color="auto"/>
          </w:divBdr>
        </w:div>
      </w:divsChild>
    </w:div>
    <w:div w:id="834536239">
      <w:marLeft w:val="0"/>
      <w:marRight w:val="0"/>
      <w:marTop w:val="0"/>
      <w:marBottom w:val="0"/>
      <w:divBdr>
        <w:top w:val="none" w:sz="0" w:space="0" w:color="auto"/>
        <w:left w:val="none" w:sz="0" w:space="0" w:color="auto"/>
        <w:bottom w:val="none" w:sz="0" w:space="0" w:color="auto"/>
        <w:right w:val="none" w:sz="0" w:space="0" w:color="auto"/>
      </w:divBdr>
    </w:div>
    <w:div w:id="834536241">
      <w:marLeft w:val="0"/>
      <w:marRight w:val="0"/>
      <w:marTop w:val="0"/>
      <w:marBottom w:val="0"/>
      <w:divBdr>
        <w:top w:val="none" w:sz="0" w:space="0" w:color="auto"/>
        <w:left w:val="none" w:sz="0" w:space="0" w:color="auto"/>
        <w:bottom w:val="none" w:sz="0" w:space="0" w:color="auto"/>
        <w:right w:val="none" w:sz="0" w:space="0" w:color="auto"/>
      </w:divBdr>
    </w:div>
    <w:div w:id="834536242">
      <w:marLeft w:val="0"/>
      <w:marRight w:val="0"/>
      <w:marTop w:val="0"/>
      <w:marBottom w:val="0"/>
      <w:divBdr>
        <w:top w:val="none" w:sz="0" w:space="0" w:color="auto"/>
        <w:left w:val="none" w:sz="0" w:space="0" w:color="auto"/>
        <w:bottom w:val="none" w:sz="0" w:space="0" w:color="auto"/>
        <w:right w:val="none" w:sz="0" w:space="0" w:color="auto"/>
      </w:divBdr>
    </w:div>
    <w:div w:id="834536243">
      <w:marLeft w:val="0"/>
      <w:marRight w:val="0"/>
      <w:marTop w:val="0"/>
      <w:marBottom w:val="0"/>
      <w:divBdr>
        <w:top w:val="none" w:sz="0" w:space="0" w:color="auto"/>
        <w:left w:val="none" w:sz="0" w:space="0" w:color="auto"/>
        <w:bottom w:val="none" w:sz="0" w:space="0" w:color="auto"/>
        <w:right w:val="none" w:sz="0" w:space="0" w:color="auto"/>
      </w:divBdr>
    </w:div>
    <w:div w:id="834536244">
      <w:marLeft w:val="0"/>
      <w:marRight w:val="0"/>
      <w:marTop w:val="0"/>
      <w:marBottom w:val="0"/>
      <w:divBdr>
        <w:top w:val="none" w:sz="0" w:space="0" w:color="auto"/>
        <w:left w:val="none" w:sz="0" w:space="0" w:color="auto"/>
        <w:bottom w:val="none" w:sz="0" w:space="0" w:color="auto"/>
        <w:right w:val="none" w:sz="0" w:space="0" w:color="auto"/>
      </w:divBdr>
    </w:div>
    <w:div w:id="834536245">
      <w:marLeft w:val="0"/>
      <w:marRight w:val="0"/>
      <w:marTop w:val="0"/>
      <w:marBottom w:val="0"/>
      <w:divBdr>
        <w:top w:val="none" w:sz="0" w:space="0" w:color="auto"/>
        <w:left w:val="none" w:sz="0" w:space="0" w:color="auto"/>
        <w:bottom w:val="none" w:sz="0" w:space="0" w:color="auto"/>
        <w:right w:val="none" w:sz="0" w:space="0" w:color="auto"/>
      </w:divBdr>
    </w:div>
    <w:div w:id="834536247">
      <w:marLeft w:val="0"/>
      <w:marRight w:val="0"/>
      <w:marTop w:val="0"/>
      <w:marBottom w:val="0"/>
      <w:divBdr>
        <w:top w:val="none" w:sz="0" w:space="0" w:color="auto"/>
        <w:left w:val="none" w:sz="0" w:space="0" w:color="auto"/>
        <w:bottom w:val="none" w:sz="0" w:space="0" w:color="auto"/>
        <w:right w:val="none" w:sz="0" w:space="0" w:color="auto"/>
      </w:divBdr>
    </w:div>
    <w:div w:id="834536248">
      <w:marLeft w:val="0"/>
      <w:marRight w:val="0"/>
      <w:marTop w:val="0"/>
      <w:marBottom w:val="0"/>
      <w:divBdr>
        <w:top w:val="none" w:sz="0" w:space="0" w:color="auto"/>
        <w:left w:val="none" w:sz="0" w:space="0" w:color="auto"/>
        <w:bottom w:val="none" w:sz="0" w:space="0" w:color="auto"/>
        <w:right w:val="none" w:sz="0" w:space="0" w:color="auto"/>
      </w:divBdr>
    </w:div>
    <w:div w:id="834536249">
      <w:marLeft w:val="0"/>
      <w:marRight w:val="0"/>
      <w:marTop w:val="0"/>
      <w:marBottom w:val="0"/>
      <w:divBdr>
        <w:top w:val="none" w:sz="0" w:space="0" w:color="auto"/>
        <w:left w:val="none" w:sz="0" w:space="0" w:color="auto"/>
        <w:bottom w:val="none" w:sz="0" w:space="0" w:color="auto"/>
        <w:right w:val="none" w:sz="0" w:space="0" w:color="auto"/>
      </w:divBdr>
    </w:div>
    <w:div w:id="834536250">
      <w:marLeft w:val="0"/>
      <w:marRight w:val="0"/>
      <w:marTop w:val="0"/>
      <w:marBottom w:val="0"/>
      <w:divBdr>
        <w:top w:val="none" w:sz="0" w:space="0" w:color="auto"/>
        <w:left w:val="none" w:sz="0" w:space="0" w:color="auto"/>
        <w:bottom w:val="none" w:sz="0" w:space="0" w:color="auto"/>
        <w:right w:val="none" w:sz="0" w:space="0" w:color="auto"/>
      </w:divBdr>
    </w:div>
    <w:div w:id="834536251">
      <w:marLeft w:val="0"/>
      <w:marRight w:val="0"/>
      <w:marTop w:val="0"/>
      <w:marBottom w:val="0"/>
      <w:divBdr>
        <w:top w:val="none" w:sz="0" w:space="0" w:color="auto"/>
        <w:left w:val="none" w:sz="0" w:space="0" w:color="auto"/>
        <w:bottom w:val="none" w:sz="0" w:space="0" w:color="auto"/>
        <w:right w:val="none" w:sz="0" w:space="0" w:color="auto"/>
      </w:divBdr>
    </w:div>
    <w:div w:id="834536252">
      <w:marLeft w:val="0"/>
      <w:marRight w:val="0"/>
      <w:marTop w:val="0"/>
      <w:marBottom w:val="0"/>
      <w:divBdr>
        <w:top w:val="none" w:sz="0" w:space="0" w:color="auto"/>
        <w:left w:val="none" w:sz="0" w:space="0" w:color="auto"/>
        <w:bottom w:val="none" w:sz="0" w:space="0" w:color="auto"/>
        <w:right w:val="none" w:sz="0" w:space="0" w:color="auto"/>
      </w:divBdr>
    </w:div>
    <w:div w:id="834536255">
      <w:marLeft w:val="0"/>
      <w:marRight w:val="0"/>
      <w:marTop w:val="0"/>
      <w:marBottom w:val="0"/>
      <w:divBdr>
        <w:top w:val="none" w:sz="0" w:space="0" w:color="auto"/>
        <w:left w:val="none" w:sz="0" w:space="0" w:color="auto"/>
        <w:bottom w:val="none" w:sz="0" w:space="0" w:color="auto"/>
        <w:right w:val="none" w:sz="0" w:space="0" w:color="auto"/>
      </w:divBdr>
    </w:div>
    <w:div w:id="834536256">
      <w:marLeft w:val="0"/>
      <w:marRight w:val="0"/>
      <w:marTop w:val="0"/>
      <w:marBottom w:val="0"/>
      <w:divBdr>
        <w:top w:val="none" w:sz="0" w:space="0" w:color="auto"/>
        <w:left w:val="none" w:sz="0" w:space="0" w:color="auto"/>
        <w:bottom w:val="none" w:sz="0" w:space="0" w:color="auto"/>
        <w:right w:val="none" w:sz="0" w:space="0" w:color="auto"/>
      </w:divBdr>
    </w:div>
    <w:div w:id="834536257">
      <w:marLeft w:val="0"/>
      <w:marRight w:val="0"/>
      <w:marTop w:val="0"/>
      <w:marBottom w:val="0"/>
      <w:divBdr>
        <w:top w:val="none" w:sz="0" w:space="0" w:color="auto"/>
        <w:left w:val="none" w:sz="0" w:space="0" w:color="auto"/>
        <w:bottom w:val="none" w:sz="0" w:space="0" w:color="auto"/>
        <w:right w:val="none" w:sz="0" w:space="0" w:color="auto"/>
      </w:divBdr>
    </w:div>
    <w:div w:id="834536258">
      <w:marLeft w:val="0"/>
      <w:marRight w:val="0"/>
      <w:marTop w:val="0"/>
      <w:marBottom w:val="0"/>
      <w:divBdr>
        <w:top w:val="none" w:sz="0" w:space="0" w:color="auto"/>
        <w:left w:val="none" w:sz="0" w:space="0" w:color="auto"/>
        <w:bottom w:val="none" w:sz="0" w:space="0" w:color="auto"/>
        <w:right w:val="none" w:sz="0" w:space="0" w:color="auto"/>
      </w:divBdr>
    </w:div>
    <w:div w:id="834536259">
      <w:marLeft w:val="0"/>
      <w:marRight w:val="0"/>
      <w:marTop w:val="0"/>
      <w:marBottom w:val="0"/>
      <w:divBdr>
        <w:top w:val="none" w:sz="0" w:space="0" w:color="auto"/>
        <w:left w:val="none" w:sz="0" w:space="0" w:color="auto"/>
        <w:bottom w:val="none" w:sz="0" w:space="0" w:color="auto"/>
        <w:right w:val="none" w:sz="0" w:space="0" w:color="auto"/>
      </w:divBdr>
    </w:div>
    <w:div w:id="834536261">
      <w:marLeft w:val="0"/>
      <w:marRight w:val="0"/>
      <w:marTop w:val="0"/>
      <w:marBottom w:val="0"/>
      <w:divBdr>
        <w:top w:val="none" w:sz="0" w:space="0" w:color="auto"/>
        <w:left w:val="none" w:sz="0" w:space="0" w:color="auto"/>
        <w:bottom w:val="none" w:sz="0" w:space="0" w:color="auto"/>
        <w:right w:val="none" w:sz="0" w:space="0" w:color="auto"/>
      </w:divBdr>
    </w:div>
    <w:div w:id="834536262">
      <w:marLeft w:val="0"/>
      <w:marRight w:val="0"/>
      <w:marTop w:val="0"/>
      <w:marBottom w:val="0"/>
      <w:divBdr>
        <w:top w:val="none" w:sz="0" w:space="0" w:color="auto"/>
        <w:left w:val="none" w:sz="0" w:space="0" w:color="auto"/>
        <w:bottom w:val="none" w:sz="0" w:space="0" w:color="auto"/>
        <w:right w:val="none" w:sz="0" w:space="0" w:color="auto"/>
      </w:divBdr>
    </w:div>
    <w:div w:id="834536263">
      <w:marLeft w:val="0"/>
      <w:marRight w:val="0"/>
      <w:marTop w:val="0"/>
      <w:marBottom w:val="0"/>
      <w:divBdr>
        <w:top w:val="none" w:sz="0" w:space="0" w:color="auto"/>
        <w:left w:val="none" w:sz="0" w:space="0" w:color="auto"/>
        <w:bottom w:val="none" w:sz="0" w:space="0" w:color="auto"/>
        <w:right w:val="none" w:sz="0" w:space="0" w:color="auto"/>
      </w:divBdr>
    </w:div>
    <w:div w:id="834536266">
      <w:marLeft w:val="0"/>
      <w:marRight w:val="0"/>
      <w:marTop w:val="0"/>
      <w:marBottom w:val="0"/>
      <w:divBdr>
        <w:top w:val="none" w:sz="0" w:space="0" w:color="auto"/>
        <w:left w:val="none" w:sz="0" w:space="0" w:color="auto"/>
        <w:bottom w:val="none" w:sz="0" w:space="0" w:color="auto"/>
        <w:right w:val="none" w:sz="0" w:space="0" w:color="auto"/>
      </w:divBdr>
    </w:div>
    <w:div w:id="834536267">
      <w:marLeft w:val="0"/>
      <w:marRight w:val="0"/>
      <w:marTop w:val="0"/>
      <w:marBottom w:val="0"/>
      <w:divBdr>
        <w:top w:val="none" w:sz="0" w:space="0" w:color="auto"/>
        <w:left w:val="none" w:sz="0" w:space="0" w:color="auto"/>
        <w:bottom w:val="none" w:sz="0" w:space="0" w:color="auto"/>
        <w:right w:val="none" w:sz="0" w:space="0" w:color="auto"/>
      </w:divBdr>
    </w:div>
    <w:div w:id="834536268">
      <w:marLeft w:val="0"/>
      <w:marRight w:val="0"/>
      <w:marTop w:val="0"/>
      <w:marBottom w:val="0"/>
      <w:divBdr>
        <w:top w:val="none" w:sz="0" w:space="0" w:color="auto"/>
        <w:left w:val="none" w:sz="0" w:space="0" w:color="auto"/>
        <w:bottom w:val="none" w:sz="0" w:space="0" w:color="auto"/>
        <w:right w:val="none" w:sz="0" w:space="0" w:color="auto"/>
      </w:divBdr>
    </w:div>
    <w:div w:id="834536269">
      <w:marLeft w:val="0"/>
      <w:marRight w:val="0"/>
      <w:marTop w:val="0"/>
      <w:marBottom w:val="0"/>
      <w:divBdr>
        <w:top w:val="none" w:sz="0" w:space="0" w:color="auto"/>
        <w:left w:val="none" w:sz="0" w:space="0" w:color="auto"/>
        <w:bottom w:val="none" w:sz="0" w:space="0" w:color="auto"/>
        <w:right w:val="none" w:sz="0" w:space="0" w:color="auto"/>
      </w:divBdr>
    </w:div>
    <w:div w:id="834536272">
      <w:marLeft w:val="0"/>
      <w:marRight w:val="0"/>
      <w:marTop w:val="0"/>
      <w:marBottom w:val="0"/>
      <w:divBdr>
        <w:top w:val="none" w:sz="0" w:space="0" w:color="auto"/>
        <w:left w:val="none" w:sz="0" w:space="0" w:color="auto"/>
        <w:bottom w:val="none" w:sz="0" w:space="0" w:color="auto"/>
        <w:right w:val="none" w:sz="0" w:space="0" w:color="auto"/>
      </w:divBdr>
    </w:div>
    <w:div w:id="834536274">
      <w:marLeft w:val="0"/>
      <w:marRight w:val="0"/>
      <w:marTop w:val="0"/>
      <w:marBottom w:val="0"/>
      <w:divBdr>
        <w:top w:val="none" w:sz="0" w:space="0" w:color="auto"/>
        <w:left w:val="none" w:sz="0" w:space="0" w:color="auto"/>
        <w:bottom w:val="none" w:sz="0" w:space="0" w:color="auto"/>
        <w:right w:val="none" w:sz="0" w:space="0" w:color="auto"/>
      </w:divBdr>
    </w:div>
    <w:div w:id="834536275">
      <w:marLeft w:val="0"/>
      <w:marRight w:val="0"/>
      <w:marTop w:val="0"/>
      <w:marBottom w:val="0"/>
      <w:divBdr>
        <w:top w:val="none" w:sz="0" w:space="0" w:color="auto"/>
        <w:left w:val="none" w:sz="0" w:space="0" w:color="auto"/>
        <w:bottom w:val="none" w:sz="0" w:space="0" w:color="auto"/>
        <w:right w:val="none" w:sz="0" w:space="0" w:color="auto"/>
      </w:divBdr>
    </w:div>
    <w:div w:id="834536276">
      <w:marLeft w:val="0"/>
      <w:marRight w:val="0"/>
      <w:marTop w:val="0"/>
      <w:marBottom w:val="0"/>
      <w:divBdr>
        <w:top w:val="none" w:sz="0" w:space="0" w:color="auto"/>
        <w:left w:val="none" w:sz="0" w:space="0" w:color="auto"/>
        <w:bottom w:val="none" w:sz="0" w:space="0" w:color="auto"/>
        <w:right w:val="none" w:sz="0" w:space="0" w:color="auto"/>
      </w:divBdr>
    </w:div>
    <w:div w:id="834536277">
      <w:marLeft w:val="0"/>
      <w:marRight w:val="0"/>
      <w:marTop w:val="0"/>
      <w:marBottom w:val="0"/>
      <w:divBdr>
        <w:top w:val="none" w:sz="0" w:space="0" w:color="auto"/>
        <w:left w:val="none" w:sz="0" w:space="0" w:color="auto"/>
        <w:bottom w:val="none" w:sz="0" w:space="0" w:color="auto"/>
        <w:right w:val="none" w:sz="0" w:space="0" w:color="auto"/>
      </w:divBdr>
    </w:div>
    <w:div w:id="834536278">
      <w:marLeft w:val="0"/>
      <w:marRight w:val="0"/>
      <w:marTop w:val="0"/>
      <w:marBottom w:val="0"/>
      <w:divBdr>
        <w:top w:val="none" w:sz="0" w:space="0" w:color="auto"/>
        <w:left w:val="none" w:sz="0" w:space="0" w:color="auto"/>
        <w:bottom w:val="none" w:sz="0" w:space="0" w:color="auto"/>
        <w:right w:val="none" w:sz="0" w:space="0" w:color="auto"/>
      </w:divBdr>
    </w:div>
    <w:div w:id="834536279">
      <w:marLeft w:val="0"/>
      <w:marRight w:val="0"/>
      <w:marTop w:val="0"/>
      <w:marBottom w:val="0"/>
      <w:divBdr>
        <w:top w:val="none" w:sz="0" w:space="0" w:color="auto"/>
        <w:left w:val="none" w:sz="0" w:space="0" w:color="auto"/>
        <w:bottom w:val="none" w:sz="0" w:space="0" w:color="auto"/>
        <w:right w:val="none" w:sz="0" w:space="0" w:color="auto"/>
      </w:divBdr>
    </w:div>
    <w:div w:id="834536280">
      <w:marLeft w:val="0"/>
      <w:marRight w:val="0"/>
      <w:marTop w:val="0"/>
      <w:marBottom w:val="0"/>
      <w:divBdr>
        <w:top w:val="none" w:sz="0" w:space="0" w:color="auto"/>
        <w:left w:val="none" w:sz="0" w:space="0" w:color="auto"/>
        <w:bottom w:val="none" w:sz="0" w:space="0" w:color="auto"/>
        <w:right w:val="none" w:sz="0" w:space="0" w:color="auto"/>
      </w:divBdr>
    </w:div>
    <w:div w:id="834536281">
      <w:marLeft w:val="0"/>
      <w:marRight w:val="0"/>
      <w:marTop w:val="0"/>
      <w:marBottom w:val="0"/>
      <w:divBdr>
        <w:top w:val="none" w:sz="0" w:space="0" w:color="auto"/>
        <w:left w:val="none" w:sz="0" w:space="0" w:color="auto"/>
        <w:bottom w:val="none" w:sz="0" w:space="0" w:color="auto"/>
        <w:right w:val="none" w:sz="0" w:space="0" w:color="auto"/>
      </w:divBdr>
    </w:div>
    <w:div w:id="834536282">
      <w:marLeft w:val="0"/>
      <w:marRight w:val="0"/>
      <w:marTop w:val="0"/>
      <w:marBottom w:val="0"/>
      <w:divBdr>
        <w:top w:val="none" w:sz="0" w:space="0" w:color="auto"/>
        <w:left w:val="none" w:sz="0" w:space="0" w:color="auto"/>
        <w:bottom w:val="none" w:sz="0" w:space="0" w:color="auto"/>
        <w:right w:val="none" w:sz="0" w:space="0" w:color="auto"/>
      </w:divBdr>
    </w:div>
    <w:div w:id="834536283">
      <w:marLeft w:val="0"/>
      <w:marRight w:val="0"/>
      <w:marTop w:val="0"/>
      <w:marBottom w:val="0"/>
      <w:divBdr>
        <w:top w:val="none" w:sz="0" w:space="0" w:color="auto"/>
        <w:left w:val="none" w:sz="0" w:space="0" w:color="auto"/>
        <w:bottom w:val="none" w:sz="0" w:space="0" w:color="auto"/>
        <w:right w:val="none" w:sz="0" w:space="0" w:color="auto"/>
      </w:divBdr>
    </w:div>
    <w:div w:id="834536284">
      <w:marLeft w:val="0"/>
      <w:marRight w:val="0"/>
      <w:marTop w:val="0"/>
      <w:marBottom w:val="0"/>
      <w:divBdr>
        <w:top w:val="none" w:sz="0" w:space="0" w:color="auto"/>
        <w:left w:val="none" w:sz="0" w:space="0" w:color="auto"/>
        <w:bottom w:val="none" w:sz="0" w:space="0" w:color="auto"/>
        <w:right w:val="none" w:sz="0" w:space="0" w:color="auto"/>
      </w:divBdr>
    </w:div>
    <w:div w:id="834536285">
      <w:marLeft w:val="0"/>
      <w:marRight w:val="0"/>
      <w:marTop w:val="0"/>
      <w:marBottom w:val="0"/>
      <w:divBdr>
        <w:top w:val="none" w:sz="0" w:space="0" w:color="auto"/>
        <w:left w:val="none" w:sz="0" w:space="0" w:color="auto"/>
        <w:bottom w:val="none" w:sz="0" w:space="0" w:color="auto"/>
        <w:right w:val="none" w:sz="0" w:space="0" w:color="auto"/>
      </w:divBdr>
      <w:divsChild>
        <w:div w:id="834536290">
          <w:marLeft w:val="0"/>
          <w:marRight w:val="0"/>
          <w:marTop w:val="0"/>
          <w:marBottom w:val="0"/>
          <w:divBdr>
            <w:top w:val="none" w:sz="0" w:space="0" w:color="auto"/>
            <w:left w:val="none" w:sz="0" w:space="0" w:color="auto"/>
            <w:bottom w:val="none" w:sz="0" w:space="0" w:color="auto"/>
            <w:right w:val="none" w:sz="0" w:space="0" w:color="auto"/>
          </w:divBdr>
          <w:divsChild>
            <w:div w:id="834536260">
              <w:marLeft w:val="0"/>
              <w:marRight w:val="0"/>
              <w:marTop w:val="0"/>
              <w:marBottom w:val="0"/>
              <w:divBdr>
                <w:top w:val="none" w:sz="0" w:space="0" w:color="auto"/>
                <w:left w:val="none" w:sz="0" w:space="0" w:color="auto"/>
                <w:bottom w:val="none" w:sz="0" w:space="0" w:color="auto"/>
                <w:right w:val="none" w:sz="0" w:space="0" w:color="auto"/>
              </w:divBdr>
              <w:divsChild>
                <w:div w:id="834536339">
                  <w:marLeft w:val="0"/>
                  <w:marRight w:val="0"/>
                  <w:marTop w:val="0"/>
                  <w:marBottom w:val="0"/>
                  <w:divBdr>
                    <w:top w:val="none" w:sz="0" w:space="0" w:color="auto"/>
                    <w:left w:val="none" w:sz="0" w:space="0" w:color="auto"/>
                    <w:bottom w:val="none" w:sz="0" w:space="0" w:color="auto"/>
                    <w:right w:val="none" w:sz="0" w:space="0" w:color="auto"/>
                  </w:divBdr>
                  <w:divsChild>
                    <w:div w:id="83453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536286">
      <w:marLeft w:val="0"/>
      <w:marRight w:val="0"/>
      <w:marTop w:val="0"/>
      <w:marBottom w:val="0"/>
      <w:divBdr>
        <w:top w:val="none" w:sz="0" w:space="0" w:color="auto"/>
        <w:left w:val="none" w:sz="0" w:space="0" w:color="auto"/>
        <w:bottom w:val="none" w:sz="0" w:space="0" w:color="auto"/>
        <w:right w:val="none" w:sz="0" w:space="0" w:color="auto"/>
      </w:divBdr>
    </w:div>
    <w:div w:id="834536291">
      <w:marLeft w:val="0"/>
      <w:marRight w:val="0"/>
      <w:marTop w:val="0"/>
      <w:marBottom w:val="0"/>
      <w:divBdr>
        <w:top w:val="none" w:sz="0" w:space="0" w:color="auto"/>
        <w:left w:val="none" w:sz="0" w:space="0" w:color="auto"/>
        <w:bottom w:val="none" w:sz="0" w:space="0" w:color="auto"/>
        <w:right w:val="none" w:sz="0" w:space="0" w:color="auto"/>
      </w:divBdr>
    </w:div>
    <w:div w:id="834536292">
      <w:marLeft w:val="0"/>
      <w:marRight w:val="0"/>
      <w:marTop w:val="0"/>
      <w:marBottom w:val="0"/>
      <w:divBdr>
        <w:top w:val="none" w:sz="0" w:space="0" w:color="auto"/>
        <w:left w:val="none" w:sz="0" w:space="0" w:color="auto"/>
        <w:bottom w:val="none" w:sz="0" w:space="0" w:color="auto"/>
        <w:right w:val="none" w:sz="0" w:space="0" w:color="auto"/>
      </w:divBdr>
    </w:div>
    <w:div w:id="834536293">
      <w:marLeft w:val="0"/>
      <w:marRight w:val="0"/>
      <w:marTop w:val="0"/>
      <w:marBottom w:val="0"/>
      <w:divBdr>
        <w:top w:val="none" w:sz="0" w:space="0" w:color="auto"/>
        <w:left w:val="none" w:sz="0" w:space="0" w:color="auto"/>
        <w:bottom w:val="none" w:sz="0" w:space="0" w:color="auto"/>
        <w:right w:val="none" w:sz="0" w:space="0" w:color="auto"/>
      </w:divBdr>
    </w:div>
    <w:div w:id="834536295">
      <w:marLeft w:val="0"/>
      <w:marRight w:val="0"/>
      <w:marTop w:val="0"/>
      <w:marBottom w:val="0"/>
      <w:divBdr>
        <w:top w:val="none" w:sz="0" w:space="0" w:color="auto"/>
        <w:left w:val="none" w:sz="0" w:space="0" w:color="auto"/>
        <w:bottom w:val="none" w:sz="0" w:space="0" w:color="auto"/>
        <w:right w:val="none" w:sz="0" w:space="0" w:color="auto"/>
      </w:divBdr>
    </w:div>
    <w:div w:id="834536297">
      <w:marLeft w:val="0"/>
      <w:marRight w:val="0"/>
      <w:marTop w:val="0"/>
      <w:marBottom w:val="0"/>
      <w:divBdr>
        <w:top w:val="none" w:sz="0" w:space="0" w:color="auto"/>
        <w:left w:val="none" w:sz="0" w:space="0" w:color="auto"/>
        <w:bottom w:val="none" w:sz="0" w:space="0" w:color="auto"/>
        <w:right w:val="none" w:sz="0" w:space="0" w:color="auto"/>
      </w:divBdr>
    </w:div>
    <w:div w:id="834536298">
      <w:marLeft w:val="0"/>
      <w:marRight w:val="0"/>
      <w:marTop w:val="0"/>
      <w:marBottom w:val="0"/>
      <w:divBdr>
        <w:top w:val="none" w:sz="0" w:space="0" w:color="auto"/>
        <w:left w:val="none" w:sz="0" w:space="0" w:color="auto"/>
        <w:bottom w:val="none" w:sz="0" w:space="0" w:color="auto"/>
        <w:right w:val="none" w:sz="0" w:space="0" w:color="auto"/>
      </w:divBdr>
    </w:div>
    <w:div w:id="834536299">
      <w:marLeft w:val="0"/>
      <w:marRight w:val="0"/>
      <w:marTop w:val="0"/>
      <w:marBottom w:val="0"/>
      <w:divBdr>
        <w:top w:val="none" w:sz="0" w:space="0" w:color="auto"/>
        <w:left w:val="none" w:sz="0" w:space="0" w:color="auto"/>
        <w:bottom w:val="none" w:sz="0" w:space="0" w:color="auto"/>
        <w:right w:val="none" w:sz="0" w:space="0" w:color="auto"/>
      </w:divBdr>
    </w:div>
    <w:div w:id="834536300">
      <w:marLeft w:val="0"/>
      <w:marRight w:val="0"/>
      <w:marTop w:val="0"/>
      <w:marBottom w:val="0"/>
      <w:divBdr>
        <w:top w:val="none" w:sz="0" w:space="0" w:color="auto"/>
        <w:left w:val="none" w:sz="0" w:space="0" w:color="auto"/>
        <w:bottom w:val="none" w:sz="0" w:space="0" w:color="auto"/>
        <w:right w:val="none" w:sz="0" w:space="0" w:color="auto"/>
      </w:divBdr>
    </w:div>
    <w:div w:id="834536301">
      <w:marLeft w:val="0"/>
      <w:marRight w:val="0"/>
      <w:marTop w:val="0"/>
      <w:marBottom w:val="0"/>
      <w:divBdr>
        <w:top w:val="none" w:sz="0" w:space="0" w:color="auto"/>
        <w:left w:val="none" w:sz="0" w:space="0" w:color="auto"/>
        <w:bottom w:val="none" w:sz="0" w:space="0" w:color="auto"/>
        <w:right w:val="none" w:sz="0" w:space="0" w:color="auto"/>
      </w:divBdr>
    </w:div>
    <w:div w:id="834536302">
      <w:marLeft w:val="0"/>
      <w:marRight w:val="0"/>
      <w:marTop w:val="0"/>
      <w:marBottom w:val="0"/>
      <w:divBdr>
        <w:top w:val="none" w:sz="0" w:space="0" w:color="auto"/>
        <w:left w:val="none" w:sz="0" w:space="0" w:color="auto"/>
        <w:bottom w:val="none" w:sz="0" w:space="0" w:color="auto"/>
        <w:right w:val="none" w:sz="0" w:space="0" w:color="auto"/>
      </w:divBdr>
    </w:div>
    <w:div w:id="834536303">
      <w:marLeft w:val="0"/>
      <w:marRight w:val="0"/>
      <w:marTop w:val="0"/>
      <w:marBottom w:val="0"/>
      <w:divBdr>
        <w:top w:val="none" w:sz="0" w:space="0" w:color="auto"/>
        <w:left w:val="none" w:sz="0" w:space="0" w:color="auto"/>
        <w:bottom w:val="none" w:sz="0" w:space="0" w:color="auto"/>
        <w:right w:val="none" w:sz="0" w:space="0" w:color="auto"/>
      </w:divBdr>
    </w:div>
    <w:div w:id="834536304">
      <w:marLeft w:val="0"/>
      <w:marRight w:val="0"/>
      <w:marTop w:val="0"/>
      <w:marBottom w:val="0"/>
      <w:divBdr>
        <w:top w:val="none" w:sz="0" w:space="0" w:color="auto"/>
        <w:left w:val="none" w:sz="0" w:space="0" w:color="auto"/>
        <w:bottom w:val="none" w:sz="0" w:space="0" w:color="auto"/>
        <w:right w:val="none" w:sz="0" w:space="0" w:color="auto"/>
      </w:divBdr>
    </w:div>
    <w:div w:id="834536307">
      <w:marLeft w:val="0"/>
      <w:marRight w:val="0"/>
      <w:marTop w:val="0"/>
      <w:marBottom w:val="0"/>
      <w:divBdr>
        <w:top w:val="none" w:sz="0" w:space="0" w:color="auto"/>
        <w:left w:val="none" w:sz="0" w:space="0" w:color="auto"/>
        <w:bottom w:val="none" w:sz="0" w:space="0" w:color="auto"/>
        <w:right w:val="none" w:sz="0" w:space="0" w:color="auto"/>
      </w:divBdr>
    </w:div>
    <w:div w:id="834536308">
      <w:marLeft w:val="0"/>
      <w:marRight w:val="0"/>
      <w:marTop w:val="0"/>
      <w:marBottom w:val="0"/>
      <w:divBdr>
        <w:top w:val="none" w:sz="0" w:space="0" w:color="auto"/>
        <w:left w:val="none" w:sz="0" w:space="0" w:color="auto"/>
        <w:bottom w:val="none" w:sz="0" w:space="0" w:color="auto"/>
        <w:right w:val="none" w:sz="0" w:space="0" w:color="auto"/>
      </w:divBdr>
    </w:div>
    <w:div w:id="834536309">
      <w:marLeft w:val="0"/>
      <w:marRight w:val="0"/>
      <w:marTop w:val="0"/>
      <w:marBottom w:val="0"/>
      <w:divBdr>
        <w:top w:val="none" w:sz="0" w:space="0" w:color="auto"/>
        <w:left w:val="none" w:sz="0" w:space="0" w:color="auto"/>
        <w:bottom w:val="none" w:sz="0" w:space="0" w:color="auto"/>
        <w:right w:val="none" w:sz="0" w:space="0" w:color="auto"/>
      </w:divBdr>
    </w:div>
    <w:div w:id="834536310">
      <w:marLeft w:val="0"/>
      <w:marRight w:val="0"/>
      <w:marTop w:val="0"/>
      <w:marBottom w:val="0"/>
      <w:divBdr>
        <w:top w:val="none" w:sz="0" w:space="0" w:color="auto"/>
        <w:left w:val="none" w:sz="0" w:space="0" w:color="auto"/>
        <w:bottom w:val="none" w:sz="0" w:space="0" w:color="auto"/>
        <w:right w:val="none" w:sz="0" w:space="0" w:color="auto"/>
      </w:divBdr>
    </w:div>
    <w:div w:id="834536312">
      <w:marLeft w:val="0"/>
      <w:marRight w:val="0"/>
      <w:marTop w:val="0"/>
      <w:marBottom w:val="0"/>
      <w:divBdr>
        <w:top w:val="none" w:sz="0" w:space="0" w:color="auto"/>
        <w:left w:val="none" w:sz="0" w:space="0" w:color="auto"/>
        <w:bottom w:val="none" w:sz="0" w:space="0" w:color="auto"/>
        <w:right w:val="none" w:sz="0" w:space="0" w:color="auto"/>
      </w:divBdr>
    </w:div>
    <w:div w:id="834536313">
      <w:marLeft w:val="0"/>
      <w:marRight w:val="0"/>
      <w:marTop w:val="0"/>
      <w:marBottom w:val="0"/>
      <w:divBdr>
        <w:top w:val="none" w:sz="0" w:space="0" w:color="auto"/>
        <w:left w:val="none" w:sz="0" w:space="0" w:color="auto"/>
        <w:bottom w:val="none" w:sz="0" w:space="0" w:color="auto"/>
        <w:right w:val="none" w:sz="0" w:space="0" w:color="auto"/>
      </w:divBdr>
    </w:div>
    <w:div w:id="834536315">
      <w:marLeft w:val="0"/>
      <w:marRight w:val="0"/>
      <w:marTop w:val="0"/>
      <w:marBottom w:val="0"/>
      <w:divBdr>
        <w:top w:val="none" w:sz="0" w:space="0" w:color="auto"/>
        <w:left w:val="none" w:sz="0" w:space="0" w:color="auto"/>
        <w:bottom w:val="none" w:sz="0" w:space="0" w:color="auto"/>
        <w:right w:val="none" w:sz="0" w:space="0" w:color="auto"/>
      </w:divBdr>
    </w:div>
    <w:div w:id="834536317">
      <w:marLeft w:val="0"/>
      <w:marRight w:val="0"/>
      <w:marTop w:val="0"/>
      <w:marBottom w:val="0"/>
      <w:divBdr>
        <w:top w:val="none" w:sz="0" w:space="0" w:color="auto"/>
        <w:left w:val="none" w:sz="0" w:space="0" w:color="auto"/>
        <w:bottom w:val="none" w:sz="0" w:space="0" w:color="auto"/>
        <w:right w:val="none" w:sz="0" w:space="0" w:color="auto"/>
      </w:divBdr>
    </w:div>
    <w:div w:id="834536318">
      <w:marLeft w:val="0"/>
      <w:marRight w:val="0"/>
      <w:marTop w:val="0"/>
      <w:marBottom w:val="0"/>
      <w:divBdr>
        <w:top w:val="none" w:sz="0" w:space="0" w:color="auto"/>
        <w:left w:val="none" w:sz="0" w:space="0" w:color="auto"/>
        <w:bottom w:val="none" w:sz="0" w:space="0" w:color="auto"/>
        <w:right w:val="none" w:sz="0" w:space="0" w:color="auto"/>
      </w:divBdr>
    </w:div>
    <w:div w:id="834536319">
      <w:marLeft w:val="0"/>
      <w:marRight w:val="0"/>
      <w:marTop w:val="0"/>
      <w:marBottom w:val="0"/>
      <w:divBdr>
        <w:top w:val="none" w:sz="0" w:space="0" w:color="auto"/>
        <w:left w:val="none" w:sz="0" w:space="0" w:color="auto"/>
        <w:bottom w:val="none" w:sz="0" w:space="0" w:color="auto"/>
        <w:right w:val="none" w:sz="0" w:space="0" w:color="auto"/>
      </w:divBdr>
      <w:divsChild>
        <w:div w:id="834536273">
          <w:marLeft w:val="0"/>
          <w:marRight w:val="0"/>
          <w:marTop w:val="200"/>
          <w:marBottom w:val="200"/>
          <w:divBdr>
            <w:top w:val="single" w:sz="8" w:space="0" w:color="969696"/>
            <w:left w:val="single" w:sz="8" w:space="0" w:color="969696"/>
            <w:bottom w:val="single" w:sz="8" w:space="0" w:color="969696"/>
            <w:right w:val="single" w:sz="8" w:space="0" w:color="969696"/>
          </w:divBdr>
          <w:divsChild>
            <w:div w:id="834536331">
              <w:marLeft w:val="0"/>
              <w:marRight w:val="0"/>
              <w:marTop w:val="0"/>
              <w:marBottom w:val="0"/>
              <w:divBdr>
                <w:top w:val="none" w:sz="0" w:space="0" w:color="auto"/>
                <w:left w:val="none" w:sz="0" w:space="0" w:color="auto"/>
                <w:bottom w:val="none" w:sz="0" w:space="0" w:color="auto"/>
                <w:right w:val="none" w:sz="0" w:space="0" w:color="auto"/>
              </w:divBdr>
              <w:divsChild>
                <w:div w:id="834536240">
                  <w:marLeft w:val="600"/>
                  <w:marRight w:val="0"/>
                  <w:marTop w:val="0"/>
                  <w:marBottom w:val="0"/>
                  <w:divBdr>
                    <w:top w:val="none" w:sz="0" w:space="0" w:color="auto"/>
                    <w:left w:val="none" w:sz="0" w:space="0" w:color="auto"/>
                    <w:bottom w:val="none" w:sz="0" w:space="0" w:color="auto"/>
                    <w:right w:val="none" w:sz="0" w:space="0" w:color="auto"/>
                  </w:divBdr>
                  <w:divsChild>
                    <w:div w:id="834536294">
                      <w:marLeft w:val="0"/>
                      <w:marRight w:val="0"/>
                      <w:marTop w:val="0"/>
                      <w:marBottom w:val="200"/>
                      <w:divBdr>
                        <w:top w:val="none" w:sz="0" w:space="0" w:color="auto"/>
                        <w:left w:val="none" w:sz="0" w:space="0" w:color="auto"/>
                        <w:bottom w:val="none" w:sz="0" w:space="0" w:color="auto"/>
                        <w:right w:val="none" w:sz="0" w:space="0" w:color="auto"/>
                      </w:divBdr>
                    </w:div>
                  </w:divsChild>
                </w:div>
              </w:divsChild>
            </w:div>
          </w:divsChild>
        </w:div>
      </w:divsChild>
    </w:div>
    <w:div w:id="834536321">
      <w:marLeft w:val="0"/>
      <w:marRight w:val="0"/>
      <w:marTop w:val="0"/>
      <w:marBottom w:val="0"/>
      <w:divBdr>
        <w:top w:val="none" w:sz="0" w:space="0" w:color="auto"/>
        <w:left w:val="none" w:sz="0" w:space="0" w:color="auto"/>
        <w:bottom w:val="none" w:sz="0" w:space="0" w:color="auto"/>
        <w:right w:val="none" w:sz="0" w:space="0" w:color="auto"/>
      </w:divBdr>
    </w:div>
    <w:div w:id="834536322">
      <w:marLeft w:val="0"/>
      <w:marRight w:val="0"/>
      <w:marTop w:val="0"/>
      <w:marBottom w:val="0"/>
      <w:divBdr>
        <w:top w:val="none" w:sz="0" w:space="0" w:color="auto"/>
        <w:left w:val="none" w:sz="0" w:space="0" w:color="auto"/>
        <w:bottom w:val="none" w:sz="0" w:space="0" w:color="auto"/>
        <w:right w:val="none" w:sz="0" w:space="0" w:color="auto"/>
      </w:divBdr>
    </w:div>
    <w:div w:id="834536323">
      <w:marLeft w:val="0"/>
      <w:marRight w:val="0"/>
      <w:marTop w:val="0"/>
      <w:marBottom w:val="0"/>
      <w:divBdr>
        <w:top w:val="none" w:sz="0" w:space="0" w:color="auto"/>
        <w:left w:val="none" w:sz="0" w:space="0" w:color="auto"/>
        <w:bottom w:val="none" w:sz="0" w:space="0" w:color="auto"/>
        <w:right w:val="none" w:sz="0" w:space="0" w:color="auto"/>
      </w:divBdr>
    </w:div>
    <w:div w:id="834536324">
      <w:marLeft w:val="0"/>
      <w:marRight w:val="0"/>
      <w:marTop w:val="0"/>
      <w:marBottom w:val="0"/>
      <w:divBdr>
        <w:top w:val="none" w:sz="0" w:space="0" w:color="auto"/>
        <w:left w:val="none" w:sz="0" w:space="0" w:color="auto"/>
        <w:bottom w:val="none" w:sz="0" w:space="0" w:color="auto"/>
        <w:right w:val="none" w:sz="0" w:space="0" w:color="auto"/>
      </w:divBdr>
    </w:div>
    <w:div w:id="834536325">
      <w:marLeft w:val="0"/>
      <w:marRight w:val="0"/>
      <w:marTop w:val="0"/>
      <w:marBottom w:val="0"/>
      <w:divBdr>
        <w:top w:val="none" w:sz="0" w:space="0" w:color="auto"/>
        <w:left w:val="none" w:sz="0" w:space="0" w:color="auto"/>
        <w:bottom w:val="none" w:sz="0" w:space="0" w:color="auto"/>
        <w:right w:val="none" w:sz="0" w:space="0" w:color="auto"/>
      </w:divBdr>
    </w:div>
    <w:div w:id="834536326">
      <w:marLeft w:val="0"/>
      <w:marRight w:val="0"/>
      <w:marTop w:val="0"/>
      <w:marBottom w:val="0"/>
      <w:divBdr>
        <w:top w:val="none" w:sz="0" w:space="0" w:color="auto"/>
        <w:left w:val="none" w:sz="0" w:space="0" w:color="auto"/>
        <w:bottom w:val="none" w:sz="0" w:space="0" w:color="auto"/>
        <w:right w:val="none" w:sz="0" w:space="0" w:color="auto"/>
      </w:divBdr>
    </w:div>
    <w:div w:id="834536327">
      <w:marLeft w:val="0"/>
      <w:marRight w:val="0"/>
      <w:marTop w:val="0"/>
      <w:marBottom w:val="0"/>
      <w:divBdr>
        <w:top w:val="none" w:sz="0" w:space="0" w:color="auto"/>
        <w:left w:val="none" w:sz="0" w:space="0" w:color="auto"/>
        <w:bottom w:val="none" w:sz="0" w:space="0" w:color="auto"/>
        <w:right w:val="none" w:sz="0" w:space="0" w:color="auto"/>
      </w:divBdr>
    </w:div>
    <w:div w:id="834536328">
      <w:marLeft w:val="0"/>
      <w:marRight w:val="0"/>
      <w:marTop w:val="0"/>
      <w:marBottom w:val="0"/>
      <w:divBdr>
        <w:top w:val="none" w:sz="0" w:space="0" w:color="auto"/>
        <w:left w:val="none" w:sz="0" w:space="0" w:color="auto"/>
        <w:bottom w:val="none" w:sz="0" w:space="0" w:color="auto"/>
        <w:right w:val="none" w:sz="0" w:space="0" w:color="auto"/>
      </w:divBdr>
    </w:div>
    <w:div w:id="834536329">
      <w:marLeft w:val="0"/>
      <w:marRight w:val="0"/>
      <w:marTop w:val="0"/>
      <w:marBottom w:val="0"/>
      <w:divBdr>
        <w:top w:val="none" w:sz="0" w:space="0" w:color="auto"/>
        <w:left w:val="none" w:sz="0" w:space="0" w:color="auto"/>
        <w:bottom w:val="none" w:sz="0" w:space="0" w:color="auto"/>
        <w:right w:val="none" w:sz="0" w:space="0" w:color="auto"/>
      </w:divBdr>
    </w:div>
    <w:div w:id="834536330">
      <w:marLeft w:val="0"/>
      <w:marRight w:val="0"/>
      <w:marTop w:val="0"/>
      <w:marBottom w:val="0"/>
      <w:divBdr>
        <w:top w:val="none" w:sz="0" w:space="0" w:color="auto"/>
        <w:left w:val="none" w:sz="0" w:space="0" w:color="auto"/>
        <w:bottom w:val="none" w:sz="0" w:space="0" w:color="auto"/>
        <w:right w:val="none" w:sz="0" w:space="0" w:color="auto"/>
      </w:divBdr>
    </w:div>
    <w:div w:id="834536332">
      <w:marLeft w:val="0"/>
      <w:marRight w:val="0"/>
      <w:marTop w:val="0"/>
      <w:marBottom w:val="0"/>
      <w:divBdr>
        <w:top w:val="none" w:sz="0" w:space="0" w:color="auto"/>
        <w:left w:val="none" w:sz="0" w:space="0" w:color="auto"/>
        <w:bottom w:val="none" w:sz="0" w:space="0" w:color="auto"/>
        <w:right w:val="none" w:sz="0" w:space="0" w:color="auto"/>
      </w:divBdr>
    </w:div>
    <w:div w:id="834536333">
      <w:marLeft w:val="0"/>
      <w:marRight w:val="0"/>
      <w:marTop w:val="0"/>
      <w:marBottom w:val="0"/>
      <w:divBdr>
        <w:top w:val="none" w:sz="0" w:space="0" w:color="auto"/>
        <w:left w:val="none" w:sz="0" w:space="0" w:color="auto"/>
        <w:bottom w:val="none" w:sz="0" w:space="0" w:color="auto"/>
        <w:right w:val="none" w:sz="0" w:space="0" w:color="auto"/>
      </w:divBdr>
    </w:div>
    <w:div w:id="834536334">
      <w:marLeft w:val="0"/>
      <w:marRight w:val="0"/>
      <w:marTop w:val="0"/>
      <w:marBottom w:val="0"/>
      <w:divBdr>
        <w:top w:val="none" w:sz="0" w:space="0" w:color="auto"/>
        <w:left w:val="none" w:sz="0" w:space="0" w:color="auto"/>
        <w:bottom w:val="none" w:sz="0" w:space="0" w:color="auto"/>
        <w:right w:val="none" w:sz="0" w:space="0" w:color="auto"/>
      </w:divBdr>
    </w:div>
    <w:div w:id="834536335">
      <w:marLeft w:val="0"/>
      <w:marRight w:val="0"/>
      <w:marTop w:val="0"/>
      <w:marBottom w:val="0"/>
      <w:divBdr>
        <w:top w:val="none" w:sz="0" w:space="0" w:color="auto"/>
        <w:left w:val="none" w:sz="0" w:space="0" w:color="auto"/>
        <w:bottom w:val="none" w:sz="0" w:space="0" w:color="auto"/>
        <w:right w:val="none" w:sz="0" w:space="0" w:color="auto"/>
      </w:divBdr>
    </w:div>
    <w:div w:id="834536336">
      <w:marLeft w:val="0"/>
      <w:marRight w:val="0"/>
      <w:marTop w:val="0"/>
      <w:marBottom w:val="0"/>
      <w:divBdr>
        <w:top w:val="none" w:sz="0" w:space="0" w:color="auto"/>
        <w:left w:val="none" w:sz="0" w:space="0" w:color="auto"/>
        <w:bottom w:val="none" w:sz="0" w:space="0" w:color="auto"/>
        <w:right w:val="none" w:sz="0" w:space="0" w:color="auto"/>
      </w:divBdr>
    </w:div>
    <w:div w:id="834536337">
      <w:marLeft w:val="0"/>
      <w:marRight w:val="0"/>
      <w:marTop w:val="0"/>
      <w:marBottom w:val="0"/>
      <w:divBdr>
        <w:top w:val="none" w:sz="0" w:space="0" w:color="auto"/>
        <w:left w:val="none" w:sz="0" w:space="0" w:color="auto"/>
        <w:bottom w:val="none" w:sz="0" w:space="0" w:color="auto"/>
        <w:right w:val="none" w:sz="0" w:space="0" w:color="auto"/>
      </w:divBdr>
    </w:div>
    <w:div w:id="834536338">
      <w:marLeft w:val="0"/>
      <w:marRight w:val="0"/>
      <w:marTop w:val="0"/>
      <w:marBottom w:val="0"/>
      <w:divBdr>
        <w:top w:val="none" w:sz="0" w:space="0" w:color="auto"/>
        <w:left w:val="none" w:sz="0" w:space="0" w:color="auto"/>
        <w:bottom w:val="none" w:sz="0" w:space="0" w:color="auto"/>
        <w:right w:val="none" w:sz="0" w:space="0" w:color="auto"/>
      </w:divBdr>
      <w:divsChild>
        <w:div w:id="834536314">
          <w:marLeft w:val="0"/>
          <w:marRight w:val="0"/>
          <w:marTop w:val="0"/>
          <w:marBottom w:val="0"/>
          <w:divBdr>
            <w:top w:val="none" w:sz="0" w:space="0" w:color="auto"/>
            <w:left w:val="none" w:sz="0" w:space="0" w:color="auto"/>
            <w:bottom w:val="none" w:sz="0" w:space="0" w:color="auto"/>
            <w:right w:val="none" w:sz="0" w:space="0" w:color="auto"/>
          </w:divBdr>
          <w:divsChild>
            <w:div w:id="834536253">
              <w:marLeft w:val="0"/>
              <w:marRight w:val="0"/>
              <w:marTop w:val="0"/>
              <w:marBottom w:val="0"/>
              <w:divBdr>
                <w:top w:val="none" w:sz="0" w:space="0" w:color="auto"/>
                <w:left w:val="none" w:sz="0" w:space="0" w:color="auto"/>
                <w:bottom w:val="none" w:sz="0" w:space="0" w:color="auto"/>
                <w:right w:val="none" w:sz="0" w:space="0" w:color="auto"/>
              </w:divBdr>
              <w:divsChild>
                <w:div w:id="834536271">
                  <w:marLeft w:val="0"/>
                  <w:marRight w:val="0"/>
                  <w:marTop w:val="0"/>
                  <w:marBottom w:val="0"/>
                  <w:divBdr>
                    <w:top w:val="none" w:sz="0" w:space="0" w:color="auto"/>
                    <w:left w:val="none" w:sz="0" w:space="0" w:color="auto"/>
                    <w:bottom w:val="none" w:sz="0" w:space="0" w:color="auto"/>
                    <w:right w:val="none" w:sz="0" w:space="0" w:color="auto"/>
                  </w:divBdr>
                  <w:divsChild>
                    <w:div w:id="8345363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34536340">
      <w:marLeft w:val="0"/>
      <w:marRight w:val="0"/>
      <w:marTop w:val="0"/>
      <w:marBottom w:val="0"/>
      <w:divBdr>
        <w:top w:val="none" w:sz="0" w:space="0" w:color="auto"/>
        <w:left w:val="none" w:sz="0" w:space="0" w:color="auto"/>
        <w:bottom w:val="none" w:sz="0" w:space="0" w:color="auto"/>
        <w:right w:val="none" w:sz="0" w:space="0" w:color="auto"/>
      </w:divBdr>
    </w:div>
    <w:div w:id="834536341">
      <w:marLeft w:val="0"/>
      <w:marRight w:val="0"/>
      <w:marTop w:val="0"/>
      <w:marBottom w:val="0"/>
      <w:divBdr>
        <w:top w:val="none" w:sz="0" w:space="0" w:color="auto"/>
        <w:left w:val="none" w:sz="0" w:space="0" w:color="auto"/>
        <w:bottom w:val="none" w:sz="0" w:space="0" w:color="auto"/>
        <w:right w:val="none" w:sz="0" w:space="0" w:color="auto"/>
      </w:divBdr>
    </w:div>
    <w:div w:id="834536342">
      <w:marLeft w:val="0"/>
      <w:marRight w:val="0"/>
      <w:marTop w:val="0"/>
      <w:marBottom w:val="0"/>
      <w:divBdr>
        <w:top w:val="none" w:sz="0" w:space="0" w:color="auto"/>
        <w:left w:val="none" w:sz="0" w:space="0" w:color="auto"/>
        <w:bottom w:val="none" w:sz="0" w:space="0" w:color="auto"/>
        <w:right w:val="none" w:sz="0" w:space="0" w:color="auto"/>
      </w:divBdr>
    </w:div>
    <w:div w:id="834536343">
      <w:marLeft w:val="0"/>
      <w:marRight w:val="0"/>
      <w:marTop w:val="0"/>
      <w:marBottom w:val="0"/>
      <w:divBdr>
        <w:top w:val="none" w:sz="0" w:space="0" w:color="auto"/>
        <w:left w:val="none" w:sz="0" w:space="0" w:color="auto"/>
        <w:bottom w:val="none" w:sz="0" w:space="0" w:color="auto"/>
        <w:right w:val="none" w:sz="0" w:space="0" w:color="auto"/>
      </w:divBdr>
    </w:div>
    <w:div w:id="834536344">
      <w:marLeft w:val="0"/>
      <w:marRight w:val="0"/>
      <w:marTop w:val="0"/>
      <w:marBottom w:val="0"/>
      <w:divBdr>
        <w:top w:val="none" w:sz="0" w:space="0" w:color="auto"/>
        <w:left w:val="none" w:sz="0" w:space="0" w:color="auto"/>
        <w:bottom w:val="none" w:sz="0" w:space="0" w:color="auto"/>
        <w:right w:val="none" w:sz="0" w:space="0" w:color="auto"/>
      </w:divBdr>
      <w:divsChild>
        <w:div w:id="834536270">
          <w:marLeft w:val="0"/>
          <w:marRight w:val="0"/>
          <w:marTop w:val="100"/>
          <w:marBottom w:val="100"/>
          <w:divBdr>
            <w:top w:val="none" w:sz="0" w:space="0" w:color="auto"/>
            <w:left w:val="none" w:sz="0" w:space="0" w:color="auto"/>
            <w:bottom w:val="none" w:sz="0" w:space="0" w:color="auto"/>
            <w:right w:val="none" w:sz="0" w:space="0" w:color="auto"/>
          </w:divBdr>
          <w:divsChild>
            <w:div w:id="834536346">
              <w:marLeft w:val="0"/>
              <w:marRight w:val="0"/>
              <w:marTop w:val="0"/>
              <w:marBottom w:val="0"/>
              <w:divBdr>
                <w:top w:val="none" w:sz="0" w:space="0" w:color="auto"/>
                <w:left w:val="none" w:sz="0" w:space="0" w:color="auto"/>
                <w:bottom w:val="none" w:sz="0" w:space="0" w:color="auto"/>
                <w:right w:val="none" w:sz="0" w:space="0" w:color="auto"/>
              </w:divBdr>
              <w:divsChild>
                <w:div w:id="834536320">
                  <w:marLeft w:val="200"/>
                  <w:marRight w:val="0"/>
                  <w:marTop w:val="0"/>
                  <w:marBottom w:val="0"/>
                  <w:divBdr>
                    <w:top w:val="none" w:sz="0" w:space="0" w:color="auto"/>
                    <w:left w:val="none" w:sz="0" w:space="0" w:color="auto"/>
                    <w:bottom w:val="none" w:sz="0" w:space="0" w:color="auto"/>
                    <w:right w:val="none" w:sz="0" w:space="0" w:color="auto"/>
                  </w:divBdr>
                  <w:divsChild>
                    <w:div w:id="834536246">
                      <w:marLeft w:val="0"/>
                      <w:marRight w:val="160"/>
                      <w:marTop w:val="0"/>
                      <w:marBottom w:val="0"/>
                      <w:divBdr>
                        <w:top w:val="none" w:sz="0" w:space="0" w:color="auto"/>
                        <w:left w:val="none" w:sz="0" w:space="0" w:color="auto"/>
                        <w:bottom w:val="none" w:sz="0" w:space="0" w:color="auto"/>
                        <w:right w:val="none" w:sz="0" w:space="0" w:color="auto"/>
                      </w:divBdr>
                      <w:divsChild>
                        <w:div w:id="834536289">
                          <w:marLeft w:val="0"/>
                          <w:marRight w:val="0"/>
                          <w:marTop w:val="0"/>
                          <w:marBottom w:val="0"/>
                          <w:divBdr>
                            <w:top w:val="none" w:sz="0" w:space="0" w:color="auto"/>
                            <w:left w:val="none" w:sz="0" w:space="0" w:color="auto"/>
                            <w:bottom w:val="none" w:sz="0" w:space="0" w:color="auto"/>
                            <w:right w:val="none" w:sz="0" w:space="0" w:color="auto"/>
                          </w:divBdr>
                          <w:divsChild>
                            <w:div w:id="834536264">
                              <w:marLeft w:val="0"/>
                              <w:marRight w:val="0"/>
                              <w:marTop w:val="0"/>
                              <w:marBottom w:val="0"/>
                              <w:divBdr>
                                <w:top w:val="none" w:sz="0" w:space="0" w:color="auto"/>
                                <w:left w:val="none" w:sz="0" w:space="0" w:color="auto"/>
                                <w:bottom w:val="none" w:sz="0" w:space="0" w:color="auto"/>
                                <w:right w:val="none" w:sz="0" w:space="0" w:color="auto"/>
                              </w:divBdr>
                            </w:div>
                            <w:div w:id="834536316">
                              <w:marLeft w:val="0"/>
                              <w:marRight w:val="0"/>
                              <w:marTop w:val="0"/>
                              <w:marBottom w:val="0"/>
                              <w:divBdr>
                                <w:top w:val="none" w:sz="0" w:space="0" w:color="auto"/>
                                <w:left w:val="none" w:sz="0" w:space="0" w:color="auto"/>
                                <w:bottom w:val="none" w:sz="0" w:space="0" w:color="auto"/>
                                <w:right w:val="none" w:sz="0" w:space="0" w:color="auto"/>
                              </w:divBdr>
                            </w:div>
                            <w:div w:id="83453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3.xml"/><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image" Target="media/image27.png"/><Relationship Id="rId3" Type="http://schemas.openxmlformats.org/officeDocument/2006/relationships/settings" Target="settings.xm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header" Target="header5.xml"/><Relationship Id="rId7" Type="http://schemas.openxmlformats.org/officeDocument/2006/relationships/image" Target="media/image1.png"/><Relationship Id="rId12" Type="http://schemas.openxmlformats.org/officeDocument/2006/relationships/header" Target="header2.xml"/><Relationship Id="rId17" Type="http://schemas.openxmlformats.org/officeDocument/2006/relationships/image" Target="media/image5.jpe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4.jpe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eader" Target="head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8.png"/><Relationship Id="rId45"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footer" Target="footer3.xm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10" Type="http://schemas.openxmlformats.org/officeDocument/2006/relationships/footer" Target="footer1.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footer" Target="footer5.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86</TotalTime>
  <Pages>54</Pages>
  <Words>16580</Words>
  <Characters>-32766</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Magdalena Załupka</dc:creator>
  <cp:keywords/>
  <dc:description/>
  <cp:lastModifiedBy>Dorota</cp:lastModifiedBy>
  <cp:revision>4</cp:revision>
  <cp:lastPrinted>2015-12-03T13:22:00Z</cp:lastPrinted>
  <dcterms:created xsi:type="dcterms:W3CDTF">2015-12-03T11:47:00Z</dcterms:created>
  <dcterms:modified xsi:type="dcterms:W3CDTF">2015-12-07T10:45:00Z</dcterms:modified>
</cp:coreProperties>
</file>